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4B" w:rsidRPr="00FB75CC" w:rsidRDefault="00C0784B" w:rsidP="00C0784B">
      <w:pPr>
        <w:pStyle w:val="Nadpis1"/>
        <w:jc w:val="left"/>
        <w:rPr>
          <w:sz w:val="22"/>
          <w:szCs w:val="22"/>
        </w:rPr>
      </w:pPr>
      <w:r w:rsidRPr="00C0784B">
        <w:rPr>
          <w:sz w:val="22"/>
          <w:szCs w:val="22"/>
        </w:rPr>
        <w:t>Príloha č. 1: Opis predmetu zákazky</w:t>
      </w:r>
    </w:p>
    <w:p w:rsidR="00C0784B" w:rsidRDefault="00C0784B" w:rsidP="00C0784B">
      <w:pPr>
        <w:jc w:val="both"/>
        <w:rPr>
          <w:rFonts w:ascii="Arial" w:hAnsi="Arial" w:cs="Arial"/>
          <w:bCs/>
          <w:sz w:val="20"/>
          <w:szCs w:val="20"/>
        </w:rPr>
      </w:pPr>
    </w:p>
    <w:p w:rsidR="00C0784B" w:rsidRPr="00FB75CC" w:rsidRDefault="00C0784B" w:rsidP="00C0784B">
      <w:pPr>
        <w:jc w:val="both"/>
        <w:rPr>
          <w:rFonts w:ascii="Arial" w:hAnsi="Arial" w:cs="Arial"/>
          <w:bCs/>
          <w:sz w:val="20"/>
          <w:szCs w:val="20"/>
        </w:rPr>
      </w:pPr>
      <w:r w:rsidRPr="00FB75CC">
        <w:rPr>
          <w:rFonts w:ascii="Arial" w:hAnsi="Arial" w:cs="Arial"/>
          <w:bCs/>
          <w:sz w:val="20"/>
          <w:szCs w:val="20"/>
        </w:rPr>
        <w:t xml:space="preserve">Predmetom zákazky je SW produkt potrebný pre technologický upgrade kontaktného centra na </w:t>
      </w:r>
      <w:r>
        <w:rPr>
          <w:rFonts w:ascii="Arial" w:hAnsi="Arial" w:cs="Arial"/>
          <w:bCs/>
          <w:sz w:val="20"/>
          <w:szCs w:val="20"/>
        </w:rPr>
        <w:t>50</w:t>
      </w:r>
      <w:r w:rsidRPr="00FB75CC">
        <w:rPr>
          <w:rFonts w:ascii="Arial" w:hAnsi="Arial" w:cs="Arial"/>
          <w:bCs/>
          <w:sz w:val="20"/>
          <w:szCs w:val="20"/>
        </w:rPr>
        <w:t xml:space="preserve"> operátorov. Jedná sa o SW produkt pre automatizované plánovanie zmien a sledovanie kapacitného vyťaženia kontaktného centra s previazanosťou na dochádzkový SW. </w:t>
      </w:r>
    </w:p>
    <w:p w:rsidR="00C0784B" w:rsidRPr="00FB75CC" w:rsidRDefault="00C0784B" w:rsidP="00C0784B">
      <w:pPr>
        <w:jc w:val="both"/>
        <w:rPr>
          <w:rFonts w:ascii="Arial" w:hAnsi="Arial" w:cs="Arial"/>
          <w:sz w:val="20"/>
          <w:szCs w:val="20"/>
        </w:rPr>
      </w:pPr>
    </w:p>
    <w:p w:rsidR="00C0784B" w:rsidRPr="00FB75CC" w:rsidRDefault="00C0784B" w:rsidP="00C0784B">
      <w:pPr>
        <w:jc w:val="both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>Súčasťou predmetu zákazky sú aj služby spojené s dodaním tovaru na miesto dodania a vyložením v mieste jeho umiestnenia (ak aplikovateľné), jeho inštaláciou a so zaškolením používateľov.</w:t>
      </w:r>
    </w:p>
    <w:p w:rsidR="00C0784B" w:rsidRPr="00FB75CC" w:rsidRDefault="00C0784B" w:rsidP="00C0784B">
      <w:pPr>
        <w:jc w:val="both"/>
        <w:rPr>
          <w:rFonts w:ascii="Arial" w:hAnsi="Arial" w:cs="Arial"/>
          <w:sz w:val="20"/>
          <w:szCs w:val="20"/>
        </w:rPr>
      </w:pPr>
    </w:p>
    <w:p w:rsidR="00C0784B" w:rsidRPr="00FB75CC" w:rsidRDefault="00C0784B" w:rsidP="00C0784B">
      <w:pPr>
        <w:jc w:val="both"/>
        <w:rPr>
          <w:rFonts w:ascii="Arial" w:hAnsi="Arial" w:cs="Arial"/>
          <w:sz w:val="20"/>
          <w:szCs w:val="20"/>
        </w:rPr>
      </w:pPr>
      <w:r w:rsidRPr="00FB75CC">
        <w:rPr>
          <w:rFonts w:ascii="Arial" w:hAnsi="Arial" w:cs="Arial"/>
          <w:sz w:val="20"/>
          <w:szCs w:val="20"/>
        </w:rPr>
        <w:t xml:space="preserve">Požiadavky na </w:t>
      </w:r>
      <w:r w:rsidRPr="00FB75CC">
        <w:rPr>
          <w:rFonts w:ascii="Arial" w:hAnsi="Arial" w:cs="Arial"/>
          <w:b/>
          <w:sz w:val="20"/>
          <w:szCs w:val="20"/>
        </w:rPr>
        <w:t>SW produkt pre kapacitné plánovanie a manažment kontaktného centra</w:t>
      </w:r>
      <w:r w:rsidRPr="00FB75CC">
        <w:rPr>
          <w:rFonts w:ascii="Arial" w:hAnsi="Arial" w:cs="Arial"/>
          <w:sz w:val="20"/>
          <w:szCs w:val="20"/>
        </w:rPr>
        <w:t>: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Dodanie SW produktu pre </w:t>
      </w:r>
      <w:r>
        <w:rPr>
          <w:rFonts w:ascii="Arial" w:eastAsiaTheme="minorEastAsia" w:hAnsi="Arial" w:cs="Arial"/>
          <w:sz w:val="20"/>
          <w:szCs w:val="20"/>
          <w:lang w:eastAsia="en-US"/>
        </w:rPr>
        <w:t xml:space="preserve">50 </w:t>
      </w:r>
      <w:r w:rsidRPr="00FB75CC">
        <w:rPr>
          <w:rFonts w:ascii="Arial" w:eastAsiaTheme="minorEastAsia" w:hAnsi="Arial" w:cs="Arial"/>
          <w:sz w:val="20"/>
          <w:szCs w:val="20"/>
          <w:lang w:eastAsia="en-US"/>
        </w:rPr>
        <w:t>používateľov spolu s jeho inštaláciou a konfiguráciou;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sz w:val="20"/>
          <w:szCs w:val="20"/>
          <w:lang w:eastAsia="en-US"/>
        </w:rPr>
        <w:t>Dodávateľ vyšpecifikuje HW požiadavky pre prevádzkovanie SW produktu na strane objednávateľa (iba ak je možné);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plánovať zmeny bez rozdielu, či ide o pravidelnú alebo nepravidelnú zmenovú prevádzku;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plánovania zmien samotným zamestnancom;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Automatická kontrola zákonných podmienok a interných pravidiel (napr. nie je možné naplánovať zmenu 6 dní bez prestávky,...);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zadávať požiadavky na úpravu/zmenu v naplánovaných zmenách a súčasne kontrola dodržiavania nastavených pravidiel pri plánovaní;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spravovať požiadavky zamestnancov – schválenie/neschválenie aj s odôvodením;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Zohľadňovanie nastavených pravidiel pri požiadavkách na zmenu;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pridať poznámku k vykonanej zmene v plánovaní zmien;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Evidencia informácie, kto vykonal zmenu/opravu v zázname;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Možnosť sledovať kapacitné vyťaženie – potrebu operátorov na linke na základe vyhodnotenia historických dát resp. aktuálneho vyťaženia linky – prepojenie na CISCO </w:t>
      </w:r>
      <w:proofErr w:type="spellStart"/>
      <w:r w:rsidRPr="00FB75CC">
        <w:rPr>
          <w:rFonts w:ascii="Arial" w:eastAsiaTheme="minorHAnsi" w:hAnsi="Arial" w:cs="Arial"/>
          <w:sz w:val="20"/>
          <w:szCs w:val="20"/>
          <w:lang w:eastAsia="en-US"/>
        </w:rPr>
        <w:t>Flex</w:t>
      </w:r>
      <w:proofErr w:type="spellEnd"/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FB75CC">
        <w:rPr>
          <w:rFonts w:ascii="Arial" w:eastAsiaTheme="minorHAnsi" w:hAnsi="Arial" w:cs="Arial"/>
          <w:sz w:val="20"/>
          <w:szCs w:val="20"/>
          <w:lang w:eastAsia="en-US"/>
        </w:rPr>
        <w:t>Contact</w:t>
      </w:r>
      <w:proofErr w:type="spellEnd"/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 Center;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FB75CC">
        <w:rPr>
          <w:rFonts w:ascii="Arial" w:eastAsiaTheme="minorHAnsi" w:hAnsi="Arial" w:cs="Arial"/>
          <w:sz w:val="20"/>
          <w:szCs w:val="20"/>
          <w:lang w:eastAsia="en-US"/>
        </w:rPr>
        <w:t>Reporting</w:t>
      </w:r>
      <w:proofErr w:type="spellEnd"/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 pre potreby riadenia Kontaktného centra v rozsahu dostupných funkcionalít (kapacitné vyťaženie mesiac/týždeň/deň, aktuálne vyťaženie, </w:t>
      </w:r>
      <w:proofErr w:type="spellStart"/>
      <w:r w:rsidRPr="00FB75CC">
        <w:rPr>
          <w:rFonts w:ascii="Arial" w:eastAsiaTheme="minorHAnsi" w:hAnsi="Arial" w:cs="Arial"/>
          <w:sz w:val="20"/>
          <w:szCs w:val="20"/>
          <w:lang w:eastAsia="en-US"/>
        </w:rPr>
        <w:t>reporting</w:t>
      </w:r>
      <w:proofErr w:type="spellEnd"/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 podľa jednotlivých stavov v plánovaní, historické dáta, a pod.);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FB75CC">
        <w:rPr>
          <w:rFonts w:ascii="Arial" w:eastAsiaTheme="minorHAnsi" w:hAnsi="Arial" w:cs="Arial"/>
          <w:sz w:val="20"/>
          <w:szCs w:val="20"/>
          <w:lang w:eastAsia="en-US"/>
        </w:rPr>
        <w:t>Reporting</w:t>
      </w:r>
      <w:proofErr w:type="spellEnd"/>
      <w:r w:rsidRPr="00FB75CC">
        <w:rPr>
          <w:rFonts w:ascii="Arial" w:eastAsiaTheme="minorHAnsi" w:hAnsi="Arial" w:cs="Arial"/>
          <w:sz w:val="20"/>
          <w:szCs w:val="20"/>
          <w:lang w:eastAsia="en-US"/>
        </w:rPr>
        <w:t xml:space="preserve"> pre potreby mzdového oddelenie (výpočet miezd, nadčasov, stravných lístkov...);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Možnosť vyhodnocovať pracovný výkon mimo štandardnej pracovnej náplne (Ad hoc úlohy, kampane, a pod.);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sz w:val="20"/>
          <w:szCs w:val="20"/>
          <w:lang w:eastAsia="en-US"/>
        </w:rPr>
        <w:t>Možnosť exportu dát/reportov vo formáte .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xls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, .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xlsx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, .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csv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, .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pdf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Možnosť exportu dát do dochádzkového softvéru 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Aktion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 (</w:t>
      </w:r>
      <w:hyperlink r:id="rId5" w:history="1">
        <w:r w:rsidRPr="00FB75CC">
          <w:rPr>
            <w:rStyle w:val="Hypertextovprepojenie"/>
            <w:rFonts w:ascii="Arial" w:eastAsiaTheme="minorEastAsia" w:hAnsi="Arial" w:cs="Arial"/>
            <w:sz w:val="20"/>
            <w:szCs w:val="20"/>
            <w:lang w:eastAsia="en-US"/>
          </w:rPr>
          <w:t>https://www.aktion.sk</w:t>
        </w:r>
      </w:hyperlink>
      <w:r w:rsidRPr="00FB75CC">
        <w:rPr>
          <w:rFonts w:ascii="Arial" w:eastAsiaTheme="minorEastAsia" w:hAnsi="Arial" w:cs="Arial"/>
          <w:sz w:val="20"/>
          <w:szCs w:val="20"/>
          <w:lang w:eastAsia="en-US"/>
        </w:rPr>
        <w:t>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Riadenie čerpania prestávok operátorov (napr. zamedzenie prepnutia všetkých operátorov na linke do prestávky);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63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spellStart"/>
      <w:r w:rsidRPr="00FB75C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Perpetual</w:t>
      </w:r>
      <w:proofErr w:type="spellEnd"/>
      <w:r w:rsidRPr="00FB75C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licencia na dodaný SW produkt;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63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Realizácia školenia pre </w:t>
      </w:r>
      <w:r>
        <w:rPr>
          <w:rFonts w:ascii="Arial" w:eastAsiaTheme="minorEastAsia" w:hAnsi="Arial" w:cs="Arial"/>
          <w:sz w:val="20"/>
          <w:szCs w:val="20"/>
          <w:lang w:eastAsia="en-US"/>
        </w:rPr>
        <w:t>50 používateľov, z ktorých bude minimálne 5 manažérov (rola pokročilý používateľ)</w:t>
      </w:r>
      <w:r w:rsidRPr="00FB75CC" w:rsidDel="00941906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Pr="00FB75CC">
        <w:rPr>
          <w:rFonts w:ascii="Arial" w:eastAsiaTheme="minorEastAsia" w:hAnsi="Arial" w:cs="Arial"/>
          <w:sz w:val="20"/>
          <w:szCs w:val="20"/>
          <w:lang w:eastAsia="en-US"/>
        </w:rPr>
        <w:t>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6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B75CC">
        <w:rPr>
          <w:rFonts w:ascii="Arial" w:eastAsiaTheme="minorHAnsi" w:hAnsi="Arial" w:cs="Arial"/>
          <w:sz w:val="20"/>
          <w:szCs w:val="20"/>
          <w:lang w:eastAsia="en-US"/>
        </w:rPr>
        <w:t>Dodanie školiacich materiálov a návodu na používanie SW produktu (používateľskú príručku);</w:t>
      </w:r>
    </w:p>
    <w:p w:rsidR="00C0784B" w:rsidRPr="00FB75CC" w:rsidRDefault="00C0784B" w:rsidP="00C0784B">
      <w:pPr>
        <w:pStyle w:val="Odsekzoznamu"/>
        <w:numPr>
          <w:ilvl w:val="0"/>
          <w:numId w:val="1"/>
        </w:numPr>
        <w:snapToGrid w:val="0"/>
        <w:ind w:left="363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FB75CC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Servisná podpora</w:t>
      </w:r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 pre SW na dobu 12 mesiacov alebo do vyčerpania limitu 24 človekodní. Čerpanie servisnej podpory bude prebiehať priebežne podľa aktuálnej potreby objednávateľa na základe požiadavky/objednávky. Objednávateľ si vyhradzuje právo neobjednať celý rozsah servisnej podpory. Obsahom SW podpory je predovšetkým poradenstvo, dodatočné školenia, </w:t>
      </w:r>
      <w:proofErr w:type="spellStart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>kastomizácia</w:t>
      </w:r>
      <w:proofErr w:type="spellEnd"/>
      <w:r w:rsidRPr="00FB75CC">
        <w:rPr>
          <w:rFonts w:ascii="Arial" w:eastAsiaTheme="minorEastAsia" w:hAnsi="Arial" w:cs="Arial"/>
          <w:sz w:val="20"/>
          <w:szCs w:val="20"/>
          <w:lang w:eastAsia="en-US"/>
        </w:rPr>
        <w:t xml:space="preserve"> SW a drobný rozvoj SW;</w:t>
      </w:r>
    </w:p>
    <w:p w:rsidR="00A2578B" w:rsidRDefault="00C0784B" w:rsidP="003248B5">
      <w:pPr>
        <w:pStyle w:val="Odsekzoznamu"/>
        <w:numPr>
          <w:ilvl w:val="0"/>
          <w:numId w:val="1"/>
        </w:numPr>
        <w:snapToGrid w:val="0"/>
        <w:ind w:left="363"/>
        <w:jc w:val="both"/>
      </w:pPr>
      <w:r w:rsidRPr="00FD16C8">
        <w:rPr>
          <w:rFonts w:ascii="Arial" w:eastAsiaTheme="minorEastAsia" w:hAnsi="Arial" w:cs="Arial"/>
          <w:sz w:val="20"/>
          <w:szCs w:val="20"/>
          <w:lang w:eastAsia="en-US"/>
        </w:rPr>
        <w:t xml:space="preserve">Min. </w:t>
      </w:r>
      <w:r w:rsidRPr="00FD16C8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záručná doba</w:t>
      </w:r>
      <w:r w:rsidRPr="00FD16C8">
        <w:rPr>
          <w:rFonts w:ascii="Arial" w:eastAsiaTheme="minorEastAsia" w:hAnsi="Arial" w:cs="Arial"/>
          <w:sz w:val="20"/>
          <w:szCs w:val="20"/>
          <w:lang w:eastAsia="en-US"/>
        </w:rPr>
        <w:t xml:space="preserve"> na SW produkt – 12 mesiacov, v rámci ktorej budú k dispozície zdarma nové aktualizácie, opravy chýb.</w:t>
      </w:r>
      <w:bookmarkStart w:id="0" w:name="_GoBack"/>
      <w:bookmarkEnd w:id="0"/>
    </w:p>
    <w:sectPr w:rsidR="00A2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F17"/>
    <w:multiLevelType w:val="hybridMultilevel"/>
    <w:tmpl w:val="EB105696"/>
    <w:lvl w:ilvl="0" w:tplc="49607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4B"/>
    <w:rsid w:val="00A2578B"/>
    <w:rsid w:val="00C0784B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AB9B0-92F0-45CC-902E-0B1ADE9C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0784B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"/>
    <w:basedOn w:val="Normlny"/>
    <w:link w:val="OdsekzoznamuChar"/>
    <w:uiPriority w:val="34"/>
    <w:qFormat/>
    <w:rsid w:val="00C0784B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Odsekzoznamu"/>
    <w:uiPriority w:val="34"/>
    <w:qFormat/>
    <w:locked/>
    <w:rsid w:val="00C0784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adpis1">
    <w:name w:val="Nadpis__1"/>
    <w:basedOn w:val="Normlny"/>
    <w:qFormat/>
    <w:rsid w:val="00C0784B"/>
    <w:pPr>
      <w:tabs>
        <w:tab w:val="right" w:leader="dot" w:pos="10080"/>
      </w:tabs>
      <w:jc w:val="right"/>
      <w:outlineLvl w:val="0"/>
    </w:pPr>
    <w:rPr>
      <w:rFonts w:ascii="Arial" w:hAnsi="Arial" w:cs="Arial"/>
      <w:b/>
      <w: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tio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Gogulka Róbert, JUDr.</dc:creator>
  <cp:keywords/>
  <dc:description/>
  <cp:lastModifiedBy>Gogulka Róbert, JUDr.</cp:lastModifiedBy>
  <cp:revision>2</cp:revision>
  <dcterms:created xsi:type="dcterms:W3CDTF">2023-03-10T08:14:00Z</dcterms:created>
  <dcterms:modified xsi:type="dcterms:W3CDTF">2023-03-10T08:20:00Z</dcterms:modified>
</cp:coreProperties>
</file>