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DC5" w:rsidRDefault="003D5DC5" w:rsidP="003D5DC5">
      <w:pPr>
        <w:spacing w:after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Príloha č. 7</w:t>
      </w:r>
    </w:p>
    <w:p w:rsidR="003D5DC5" w:rsidRDefault="003D5DC5" w:rsidP="003D5DC5">
      <w:pPr>
        <w:spacing w:after="120"/>
        <w:jc w:val="center"/>
        <w:rPr>
          <w:b/>
          <w:bCs/>
          <w:color w:val="000000"/>
        </w:rPr>
      </w:pPr>
    </w:p>
    <w:p w:rsidR="003D5DC5" w:rsidRDefault="003D5DC5" w:rsidP="003D5DC5">
      <w:pPr>
        <w:spacing w:after="120"/>
        <w:jc w:val="center"/>
        <w:rPr>
          <w:b/>
          <w:bCs/>
          <w:color w:val="000000"/>
        </w:rPr>
      </w:pPr>
    </w:p>
    <w:p w:rsidR="003D5DC5" w:rsidRPr="00D7542B" w:rsidRDefault="003D5DC5" w:rsidP="003D5DC5">
      <w:pPr>
        <w:spacing w:after="120"/>
        <w:jc w:val="center"/>
        <w:rPr>
          <w:b/>
          <w:u w:val="single"/>
        </w:rPr>
      </w:pPr>
      <w:r w:rsidRPr="00D7542B">
        <w:rPr>
          <w:b/>
          <w:bCs/>
          <w:color w:val="000000"/>
        </w:rPr>
        <w:t xml:space="preserve">Technická špecifikácia </w:t>
      </w:r>
    </w:p>
    <w:p w:rsidR="003D5DC5" w:rsidRPr="00D7542B" w:rsidRDefault="003D5DC5" w:rsidP="003D5DC5">
      <w:pPr>
        <w:spacing w:after="120"/>
        <w:rPr>
          <w:b/>
          <w:u w:val="single"/>
        </w:rPr>
      </w:pPr>
    </w:p>
    <w:p w:rsidR="00D7542B" w:rsidRPr="00D7542B" w:rsidRDefault="003D5DC5" w:rsidP="003D5DC5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STERILIZAČNÁ TECHNIKA</w:t>
      </w:r>
    </w:p>
    <w:p w:rsidR="00E829E3" w:rsidRDefault="00D7542B" w:rsidP="00E829E3">
      <w:pPr>
        <w:spacing w:after="120"/>
        <w:jc w:val="center"/>
        <w:rPr>
          <w:b/>
          <w:u w:val="single"/>
        </w:rPr>
      </w:pPr>
      <w:r w:rsidRPr="00D7542B">
        <w:rPr>
          <w:b/>
          <w:u w:val="single"/>
        </w:rPr>
        <w:t xml:space="preserve">Časť č. </w:t>
      </w:r>
      <w:r w:rsidR="00FB14F4">
        <w:rPr>
          <w:b/>
          <w:u w:val="single"/>
        </w:rPr>
        <w:t>6</w:t>
      </w:r>
      <w:r w:rsidRPr="00D7542B">
        <w:rPr>
          <w:b/>
          <w:u w:val="single"/>
        </w:rPr>
        <w:t xml:space="preserve"> – </w:t>
      </w:r>
    </w:p>
    <w:p w:rsidR="00E829E3" w:rsidRDefault="00463D4B" w:rsidP="00E829E3">
      <w:pPr>
        <w:spacing w:after="120"/>
        <w:jc w:val="center"/>
        <w:rPr>
          <w:b/>
          <w:u w:val="single"/>
        </w:rPr>
      </w:pPr>
      <w:r w:rsidRPr="009B292D">
        <w:rPr>
          <w:b/>
          <w:sz w:val="28"/>
        </w:rPr>
        <w:t xml:space="preserve">Automatický </w:t>
      </w:r>
      <w:proofErr w:type="spellStart"/>
      <w:r w:rsidRPr="009B292D">
        <w:rPr>
          <w:b/>
          <w:sz w:val="28"/>
        </w:rPr>
        <w:t>dezinfektor</w:t>
      </w:r>
      <w:proofErr w:type="spellEnd"/>
      <w:r w:rsidRPr="009B292D">
        <w:rPr>
          <w:b/>
          <w:sz w:val="28"/>
        </w:rPr>
        <w:t xml:space="preserve"> </w:t>
      </w:r>
      <w:proofErr w:type="spellStart"/>
      <w:r w:rsidRPr="009B292D">
        <w:rPr>
          <w:b/>
          <w:sz w:val="28"/>
        </w:rPr>
        <w:t>endoskop</w:t>
      </w:r>
      <w:r w:rsidR="00CE339F">
        <w:rPr>
          <w:b/>
          <w:sz w:val="28"/>
        </w:rPr>
        <w:t>ov</w:t>
      </w:r>
      <w:proofErr w:type="spellEnd"/>
    </w:p>
    <w:p w:rsidR="00E829E3" w:rsidRDefault="00E829E3" w:rsidP="00E829E3">
      <w:pPr>
        <w:spacing w:after="120"/>
        <w:jc w:val="center"/>
        <w:rPr>
          <w:b/>
          <w:u w:val="single"/>
        </w:rPr>
      </w:pPr>
    </w:p>
    <w:p w:rsidR="00E829E3" w:rsidRPr="00D7542B" w:rsidRDefault="00E829E3" w:rsidP="00E829E3">
      <w:pPr>
        <w:spacing w:after="120"/>
        <w:jc w:val="center"/>
        <w:rPr>
          <w:b/>
          <w:u w:val="single"/>
        </w:rPr>
      </w:pPr>
    </w:p>
    <w:p w:rsidR="00D7542B" w:rsidRPr="00D7542B" w:rsidRDefault="00320DE7" w:rsidP="00320DE7">
      <w:pPr>
        <w:spacing w:after="120"/>
        <w:rPr>
          <w:b/>
          <w:bCs/>
          <w:color w:val="000000"/>
        </w:rPr>
      </w:pPr>
      <w:r w:rsidRPr="00D7542B">
        <w:rPr>
          <w:b/>
          <w:bCs/>
          <w:color w:val="000000"/>
        </w:rPr>
        <w:t xml:space="preserve">Technická špecifikácia prístroja : </w:t>
      </w:r>
    </w:p>
    <w:p w:rsidR="00320DE7" w:rsidRPr="00D7542B" w:rsidRDefault="00D7542B" w:rsidP="00320DE7">
      <w:pPr>
        <w:spacing w:after="120"/>
        <w:rPr>
          <w:b/>
          <w:color w:val="000000"/>
        </w:rPr>
      </w:pPr>
      <w:r w:rsidRPr="00D7542B">
        <w:rPr>
          <w:b/>
          <w:color w:val="000000"/>
        </w:rPr>
        <w:t xml:space="preserve">Položka č. 1 - </w:t>
      </w:r>
      <w:r w:rsidR="00913273" w:rsidRPr="00913273">
        <w:rPr>
          <w:b/>
          <w:color w:val="000000"/>
        </w:rPr>
        <w:t xml:space="preserve">Automatický </w:t>
      </w:r>
      <w:proofErr w:type="spellStart"/>
      <w:r w:rsidR="00913273" w:rsidRPr="00913273">
        <w:rPr>
          <w:b/>
          <w:color w:val="000000"/>
        </w:rPr>
        <w:t>dezinfektor</w:t>
      </w:r>
      <w:proofErr w:type="spellEnd"/>
      <w:r w:rsidR="00913273" w:rsidRPr="00913273">
        <w:rPr>
          <w:b/>
          <w:color w:val="000000"/>
        </w:rPr>
        <w:t xml:space="preserve"> pre jeden </w:t>
      </w:r>
      <w:proofErr w:type="spellStart"/>
      <w:r w:rsidR="00913273" w:rsidRPr="00913273">
        <w:rPr>
          <w:b/>
          <w:color w:val="000000"/>
        </w:rPr>
        <w:t>endoskop</w:t>
      </w:r>
      <w:proofErr w:type="spellEnd"/>
      <w:r w:rsidR="00913273" w:rsidRPr="00913273">
        <w:rPr>
          <w:b/>
          <w:color w:val="000000"/>
        </w:rPr>
        <w:t xml:space="preserve"> </w:t>
      </w:r>
      <w:r w:rsidR="00320DE7" w:rsidRPr="00D7542B">
        <w:rPr>
          <w:b/>
          <w:color w:val="000000"/>
        </w:rPr>
        <w:t>(</w:t>
      </w:r>
      <w:r w:rsidR="00913273">
        <w:rPr>
          <w:b/>
          <w:color w:val="000000"/>
        </w:rPr>
        <w:t>16</w:t>
      </w:r>
      <w:r w:rsidR="00320DE7" w:rsidRPr="00D7542B">
        <w:rPr>
          <w:b/>
          <w:color w:val="000000"/>
        </w:rPr>
        <w:t xml:space="preserve"> ks)</w:t>
      </w:r>
    </w:p>
    <w:p w:rsidR="0014081F" w:rsidRDefault="00913273" w:rsidP="00913273">
      <w:pPr>
        <w:spacing w:after="120"/>
        <w:jc w:val="both"/>
      </w:pPr>
      <w:r w:rsidRPr="00913273">
        <w:t xml:space="preserve">S ohľadom na vzrastajúci počet pacientov vyžadujúcich </w:t>
      </w:r>
      <w:proofErr w:type="spellStart"/>
      <w:r w:rsidRPr="00913273">
        <w:t>endoskopické</w:t>
      </w:r>
      <w:proofErr w:type="spellEnd"/>
      <w:r w:rsidRPr="00913273">
        <w:t xml:space="preserve"> vyšetrenie priamo úmerne vzrástla aj potreba dezinfekcie tejto prístrojovej techniky medzi jednotlivými vyšetreniami. Ak sú flexibilné </w:t>
      </w:r>
      <w:proofErr w:type="spellStart"/>
      <w:r w:rsidRPr="00913273">
        <w:t>endoskopy</w:t>
      </w:r>
      <w:proofErr w:type="spellEnd"/>
      <w:r w:rsidRPr="00913273">
        <w:t xml:space="preserve"> kontaminované, považujú sa za vektor na prenos infekcií. Tak ako prenos mikroorganizmov je možný vírusový prenos napr. hep.1 </w:t>
      </w:r>
      <w:proofErr w:type="spellStart"/>
      <w:r w:rsidRPr="00913273">
        <w:t>atitídy</w:t>
      </w:r>
      <w:proofErr w:type="spellEnd"/>
      <w:r w:rsidRPr="00913273">
        <w:t xml:space="preserve"> B a C. Napriek tomu, že vírus SARS-</w:t>
      </w:r>
      <w:proofErr w:type="spellStart"/>
      <w:r w:rsidRPr="00913273">
        <w:t>CoV</w:t>
      </w:r>
      <w:proofErr w:type="spellEnd"/>
      <w:r w:rsidRPr="00913273">
        <w:t xml:space="preserve">- 2 sa prednostne prenáša kvapôčkami, vírus bol taktiež pozorovaný v stolici pacientov, čo predstavuje riziko prenosu z </w:t>
      </w:r>
      <w:proofErr w:type="spellStart"/>
      <w:r w:rsidRPr="00913273">
        <w:t>kolonoskopickej</w:t>
      </w:r>
      <w:proofErr w:type="spellEnd"/>
      <w:r w:rsidRPr="00913273">
        <w:t xml:space="preserve"> techniky na iného pacienta a na zdravotníckych pracovníkov. Keďže </w:t>
      </w:r>
      <w:proofErr w:type="spellStart"/>
      <w:r w:rsidRPr="00913273">
        <w:t>endoskopická</w:t>
      </w:r>
      <w:proofErr w:type="spellEnd"/>
      <w:r w:rsidRPr="00913273">
        <w:t xml:space="preserve"> technika patrí medzi </w:t>
      </w:r>
      <w:proofErr w:type="spellStart"/>
      <w:r w:rsidRPr="00913273">
        <w:t>semi</w:t>
      </w:r>
      <w:proofErr w:type="spellEnd"/>
      <w:r w:rsidRPr="00913273">
        <w:t xml:space="preserve"> kritickú zdravotnícku techniku. Všetky tieto prístroje vyžadujú vysokú mieru dezinfekcie a dekontaminácie. Zautomatizovanie tohto procesu je nevyhnutné pre skrátenie reakčného času v prípade zabezpečovania kontinuálnej zdravotnej starostlivosti v ústavnom zariadení počas pandémie COVID-19.</w:t>
      </w:r>
    </w:p>
    <w:p w:rsidR="00913273" w:rsidRDefault="00913273" w:rsidP="0014081F">
      <w:pPr>
        <w:spacing w:after="120"/>
        <w:rPr>
          <w:b/>
          <w:u w:val="single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6"/>
        <w:gridCol w:w="1488"/>
        <w:gridCol w:w="978"/>
        <w:gridCol w:w="1021"/>
        <w:gridCol w:w="1149"/>
      </w:tblGrid>
      <w:tr w:rsidR="00913273" w:rsidRPr="00913273" w:rsidTr="003D5DC5">
        <w:trPr>
          <w:trHeight w:val="288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73" w:rsidRPr="00913273" w:rsidRDefault="00913273" w:rsidP="0091327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Položka č.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Automatický </w:t>
            </w:r>
            <w:proofErr w:type="spellStart"/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>dezinfektor</w:t>
            </w:r>
            <w:proofErr w:type="spellEnd"/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E339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>ndoskop</w:t>
            </w:r>
            <w:r w:rsidR="00CE339F">
              <w:rPr>
                <w:rFonts w:ascii="Arial" w:hAnsi="Arial" w:cs="Arial"/>
                <w:b/>
                <w:bCs/>
                <w:sz w:val="20"/>
                <w:szCs w:val="20"/>
              </w:rPr>
              <w:t>ov</w:t>
            </w:r>
            <w:proofErr w:type="spellEnd"/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- 16 ks</w:t>
            </w:r>
          </w:p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356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73" w:rsidRPr="008105DB" w:rsidRDefault="00913273" w:rsidP="0091327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105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 Identifikácia ponúkaného zariadenia (názov/označenie výrobku)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28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>Funkcia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28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28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>Maximum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913273" w:rsidRPr="00913273" w:rsidRDefault="003D5DC5" w:rsidP="00913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083">
              <w:rPr>
                <w:b/>
                <w:iCs/>
                <w:sz w:val="20"/>
                <w:szCs w:val="20"/>
                <w:highlight w:val="yellow"/>
              </w:rPr>
              <w:t>Hodnota parametra ponúkaného zariadenia</w:t>
            </w:r>
          </w:p>
        </w:tc>
      </w:tr>
      <w:tr w:rsidR="00913273" w:rsidRPr="00913273" w:rsidTr="003D5DC5">
        <w:trPr>
          <w:trHeight w:val="539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Štandardný dezinfekčný cyklus v optimálnych </w:t>
            </w:r>
            <w:proofErr w:type="spellStart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podmienkách</w:t>
            </w:r>
            <w:proofErr w:type="spellEnd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28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Prednastavené dezinfekčné cykly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28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Samodezinfekčný</w:t>
            </w:r>
            <w:proofErr w:type="spellEnd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 cyklus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28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Teplota pri dezinfekcii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4</w:t>
            </w:r>
            <w:r w:rsidR="008947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28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Čas jedného cyklu pri optimálnych podmienkach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28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Napájanie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8947E8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913273" w:rsidRPr="00913273" w:rsidTr="003D5DC5">
        <w:trPr>
          <w:trHeight w:val="28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Rozmer - výška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28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Rozmer - šírka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673989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28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Rozmer - hĺbka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28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Váha </w:t>
            </w:r>
            <w:proofErr w:type="spellStart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dezinfektora</w:t>
            </w:r>
            <w:proofErr w:type="spellEnd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28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>Hodnota / charakteristika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2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107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BF5787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 xml:space="preserve">lne automatizovaný </w:t>
            </w:r>
            <w:proofErr w:type="spellStart"/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>dezinfektor</w:t>
            </w:r>
            <w:proofErr w:type="spellEnd"/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>endoskopov</w:t>
            </w:r>
            <w:proofErr w:type="spellEnd"/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 xml:space="preserve"> určený na čistenie a dezinfekciu flexibilného </w:t>
            </w:r>
            <w:proofErr w:type="spellStart"/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>endoskopu</w:t>
            </w:r>
            <w:proofErr w:type="spellEnd"/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>,.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273" w:rsidRPr="00913273" w:rsidRDefault="00913273" w:rsidP="00913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32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3273" w:rsidRPr="00913273" w:rsidTr="003D5DC5">
        <w:trPr>
          <w:trHeight w:val="80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BF5787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 xml:space="preserve"> podporou dezinfekcie na báze kyseliny </w:t>
            </w:r>
            <w:proofErr w:type="spellStart"/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>peroctovej</w:t>
            </w:r>
            <w:proofErr w:type="spellEnd"/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 xml:space="preserve"> (PA) alebo </w:t>
            </w:r>
            <w:proofErr w:type="spellStart"/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>glutaraldehydu</w:t>
            </w:r>
            <w:proofErr w:type="spellEnd"/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 xml:space="preserve"> (GTA),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80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Štandardný dezinfekčný cyklus </w:t>
            </w:r>
            <w:proofErr w:type="spellStart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pozostávavajúci</w:t>
            </w:r>
            <w:proofErr w:type="spellEnd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 zo 3 procesov: test tesnosti prístroja – čistenie prístroja </w:t>
            </w:r>
            <w:proofErr w:type="spellStart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detergentom</w:t>
            </w:r>
            <w:proofErr w:type="spellEnd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dezinfekcia prístroja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80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BF5787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 xml:space="preserve">lektronický test tesnosti </w:t>
            </w:r>
            <w:proofErr w:type="spellStart"/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>endoskopu</w:t>
            </w:r>
            <w:proofErr w:type="spellEnd"/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 xml:space="preserve"> počas celého cyklu – kontinuálne sledovanie tesnosti a neporušenosti spracovávaného </w:t>
            </w:r>
            <w:proofErr w:type="spellStart"/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>endoskopu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913273" w:rsidRPr="00913273" w:rsidTr="003D5DC5">
        <w:trPr>
          <w:trHeight w:val="107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BF5787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 xml:space="preserve">onitorovací systém pre kanáliky </w:t>
            </w:r>
            <w:proofErr w:type="spellStart"/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>endoskopu</w:t>
            </w:r>
            <w:proofErr w:type="spellEnd"/>
            <w:r w:rsidRPr="00BF5787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každý kanálik spracovávaný a monitorovaný samostatne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80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Možnosť pripojenia všetkých dostupných výrobcov </w:t>
            </w:r>
            <w:proofErr w:type="spellStart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endoskopov</w:t>
            </w:r>
            <w:proofErr w:type="spellEnd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Pentax</w:t>
            </w:r>
            <w:proofErr w:type="spellEnd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Olympus</w:t>
            </w:r>
            <w:proofErr w:type="spellEnd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Fujinon</w:t>
            </w:r>
            <w:proofErr w:type="spellEnd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Storz</w:t>
            </w:r>
            <w:proofErr w:type="spellEnd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28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Zhora ukladanie </w:t>
            </w:r>
            <w:proofErr w:type="spellStart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endoskopu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866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73" w:rsidRPr="00913273" w:rsidRDefault="00913273" w:rsidP="00913273">
            <w:pPr>
              <w:jc w:val="both"/>
              <w:rPr>
                <w:rFonts w:ascii="Arial" w:hAnsi="Arial" w:cs="Arial"/>
                <w:color w:val="37332D"/>
                <w:sz w:val="21"/>
                <w:szCs w:val="21"/>
              </w:rPr>
            </w:pPr>
            <w:r w:rsidRPr="00673989">
              <w:rPr>
                <w:rFonts w:ascii="Arial" w:hAnsi="Arial" w:cs="Arial"/>
                <w:color w:val="37332D"/>
                <w:sz w:val="21"/>
                <w:szCs w:val="21"/>
              </w:rPr>
              <w:t xml:space="preserve">Zabudovaná tlačiareň a čítačka čiarového kódu na preukázanie kvality vydezinfikovania </w:t>
            </w:r>
            <w:proofErr w:type="spellStart"/>
            <w:r w:rsidRPr="00673989">
              <w:rPr>
                <w:rFonts w:ascii="Arial" w:hAnsi="Arial" w:cs="Arial"/>
                <w:color w:val="37332D"/>
                <w:sz w:val="21"/>
                <w:szCs w:val="21"/>
              </w:rPr>
              <w:t>endoskopu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273" w:rsidRPr="00913273" w:rsidTr="003D5DC5">
        <w:trPr>
          <w:trHeight w:val="539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Zobrazenie aktuálnej fázy cyklu na displeji, zobrazenie doby chodu a teploty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539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Touch</w:t>
            </w:r>
            <w:proofErr w:type="spellEnd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screen</w:t>
            </w:r>
            <w:proofErr w:type="spellEnd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  - dotykový obrazovka na ovládanie </w:t>
            </w:r>
            <w:proofErr w:type="spellStart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dezinfektora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28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 xml:space="preserve">Možnosť </w:t>
            </w:r>
            <w:proofErr w:type="spellStart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autodekontaminácie</w:t>
            </w:r>
            <w:proofErr w:type="spellEnd"/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3273" w:rsidRPr="00913273" w:rsidTr="003D5DC5">
        <w:trPr>
          <w:trHeight w:val="288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Podvozok na kolieskach s možnosťou zabrzdenia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273" w:rsidRPr="00913273" w:rsidRDefault="00913273" w:rsidP="00913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2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320DE7" w:rsidRPr="00E8061F" w:rsidRDefault="00320DE7" w:rsidP="00320DE7">
      <w:pPr>
        <w:rPr>
          <w:b/>
        </w:rPr>
      </w:pPr>
      <w:r>
        <w:rPr>
          <w:b/>
        </w:rPr>
        <w:t xml:space="preserve">  </w:t>
      </w:r>
      <w:r w:rsidRPr="00E8061F">
        <w:rPr>
          <w:b/>
        </w:rPr>
        <w:t>Ďalšie požiadavky k dodaniu:</w:t>
      </w:r>
    </w:p>
    <w:tbl>
      <w:tblPr>
        <w:tblStyle w:val="Mriekatabuky"/>
        <w:tblW w:w="9356" w:type="dxa"/>
        <w:tblInd w:w="-34" w:type="dxa"/>
        <w:tblLook w:val="04A0" w:firstRow="1" w:lastRow="0" w:firstColumn="1" w:lastColumn="0" w:noHBand="0" w:noVBand="1"/>
      </w:tblPr>
      <w:tblGrid>
        <w:gridCol w:w="3828"/>
        <w:gridCol w:w="2013"/>
        <w:gridCol w:w="3515"/>
      </w:tblGrid>
      <w:tr w:rsidR="00320DE7" w:rsidRPr="00E8061F" w:rsidTr="00D7542B">
        <w:trPr>
          <w:trHeight w:val="556"/>
        </w:trPr>
        <w:tc>
          <w:tcPr>
            <w:tcW w:w="3828" w:type="dxa"/>
            <w:vAlign w:val="center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Názov</w:t>
            </w:r>
          </w:p>
        </w:tc>
        <w:tc>
          <w:tcPr>
            <w:tcW w:w="2013" w:type="dxa"/>
            <w:vAlign w:val="center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Požadované parametre</w:t>
            </w:r>
          </w:p>
        </w:tc>
        <w:tc>
          <w:tcPr>
            <w:tcW w:w="3515" w:type="dxa"/>
            <w:vAlign w:val="bottom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Váš návrh (parametre, resp. áno/nie v prípade, ak je požadovaný parameter uvedený slovom)</w:t>
            </w:r>
          </w:p>
        </w:tc>
      </w:tr>
      <w:tr w:rsidR="00320DE7" w:rsidRPr="00E8061F" w:rsidTr="00D7542B">
        <w:trPr>
          <w:trHeight w:val="781"/>
        </w:trPr>
        <w:tc>
          <w:tcPr>
            <w:tcW w:w="3828" w:type="dxa"/>
            <w:vAlign w:val="center"/>
          </w:tcPr>
          <w:p w:rsidR="00320DE7" w:rsidRPr="0010578F" w:rsidRDefault="00320DE7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Doprava na miesto inštalácie: </w:t>
            </w:r>
          </w:p>
          <w:p w:rsidR="00320DE7" w:rsidRPr="0010578F" w:rsidRDefault="00320DE7" w:rsidP="00D7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Univerzitná nemocnica Bratislava </w:t>
            </w:r>
          </w:p>
        </w:tc>
        <w:tc>
          <w:tcPr>
            <w:tcW w:w="2013" w:type="dxa"/>
            <w:vAlign w:val="center"/>
          </w:tcPr>
          <w:p w:rsidR="00320DE7" w:rsidRPr="0010578F" w:rsidRDefault="00320DE7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320DE7" w:rsidRPr="00E829E3" w:rsidRDefault="00320DE7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320DE7" w:rsidRPr="00E8061F" w:rsidTr="00E829E3">
        <w:trPr>
          <w:trHeight w:val="1084"/>
        </w:trPr>
        <w:tc>
          <w:tcPr>
            <w:tcW w:w="3828" w:type="dxa"/>
            <w:vAlign w:val="center"/>
          </w:tcPr>
          <w:p w:rsidR="00320DE7" w:rsidRPr="0010578F" w:rsidRDefault="00320DE7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Záručná doba na predmet zákazky minimálne 24 mesiacov od prebratia predmetu zákazky</w:t>
            </w:r>
          </w:p>
        </w:tc>
        <w:tc>
          <w:tcPr>
            <w:tcW w:w="2013" w:type="dxa"/>
            <w:vAlign w:val="center"/>
          </w:tcPr>
          <w:p w:rsidR="00320DE7" w:rsidRPr="0010578F" w:rsidRDefault="00320DE7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minimálne 24 mesiacov </w:t>
            </w:r>
          </w:p>
        </w:tc>
        <w:tc>
          <w:tcPr>
            <w:tcW w:w="3515" w:type="dxa"/>
          </w:tcPr>
          <w:p w:rsidR="00320DE7" w:rsidRPr="00E829E3" w:rsidRDefault="00320DE7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08"/>
        </w:trPr>
        <w:tc>
          <w:tcPr>
            <w:tcW w:w="3828" w:type="dxa"/>
            <w:vAlign w:val="center"/>
          </w:tcPr>
          <w:p w:rsidR="00E829E3" w:rsidRPr="0010578F" w:rsidRDefault="00E829E3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Nástup na servis do 24 hod. (v pracovných dňoch) od nahlásenia poruchy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nástup do 24 hod. </w:t>
            </w:r>
          </w:p>
        </w:tc>
        <w:tc>
          <w:tcPr>
            <w:tcW w:w="3515" w:type="dxa"/>
          </w:tcPr>
          <w:p w:rsidR="00E829E3" w:rsidRPr="00E829E3" w:rsidRDefault="00E829E3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764"/>
        </w:trPr>
        <w:tc>
          <w:tcPr>
            <w:tcW w:w="3828" w:type="dxa"/>
            <w:vAlign w:val="center"/>
          </w:tcPr>
          <w:p w:rsidR="00E829E3" w:rsidRPr="0010578F" w:rsidRDefault="00E829E3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Odborná údržba - pravidelný servis - bezpečnostno-technické prehliadky, opravy, údržba a testovanie v intervaloch predpísaných výrobcom musia byť vykonávané v záručnej dobe bezplatne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13"/>
        </w:trPr>
        <w:tc>
          <w:tcPr>
            <w:tcW w:w="3828" w:type="dxa"/>
            <w:vAlign w:val="center"/>
          </w:tcPr>
          <w:p w:rsidR="00E829E3" w:rsidRPr="0010578F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Odstránenie poruchy v rámci záručného servisu, ak nie je potrebný náhradný diel z dovozu - Dodávateľ odstráni poruchu v čo najkratšom čase, najneskôr do 48 hodín od nástupu na opravu.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E829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13"/>
        </w:trPr>
        <w:tc>
          <w:tcPr>
            <w:tcW w:w="3828" w:type="dxa"/>
            <w:vAlign w:val="center"/>
          </w:tcPr>
          <w:p w:rsidR="00E829E3" w:rsidRPr="0010578F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Zariadenie je registrované slovenskou autoritou pre registráciu zdravotníckych pomôcok (kód ŠÚKL)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E829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320DE7" w:rsidRPr="00E8061F" w:rsidRDefault="00320DE7" w:rsidP="00320DE7">
      <w:pPr>
        <w:rPr>
          <w:b/>
        </w:rPr>
      </w:pPr>
    </w:p>
    <w:p w:rsidR="00320DE7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320DE7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3D5DC5" w:rsidRDefault="003D5DC5" w:rsidP="003D5DC5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3D5DC5" w:rsidRDefault="003D5DC5" w:rsidP="003D5DC5">
      <w:pPr>
        <w:pStyle w:val="Cislovanie2"/>
        <w:tabs>
          <w:tab w:val="clear" w:pos="680"/>
        </w:tabs>
        <w:spacing w:after="0"/>
        <w:ind w:left="0" w:firstLine="0"/>
      </w:pPr>
      <w:r w:rsidRPr="00EA4571">
        <w:t xml:space="preserve">Dodanie tovaru zahŕňa aj služby súvisiace s dodaním tovaru do miesta dodania, konkrétne jeho dopravu do miesta dodania, vyloženie, vybalenie, montáž, inštaláciu, odskúšanie a uvedenie tovaru do prevádzky, zaškolenie zamestnancov kupujúceho (s obsluhou, údržbou a ošetrovaním tovaru), vrátane poskytovania služieb záručného servisu tovaru počas záručnej doby a ekologickej likvidácie obalov. </w:t>
      </w:r>
    </w:p>
    <w:p w:rsidR="003D5DC5" w:rsidRPr="00EA4571" w:rsidRDefault="003D5DC5" w:rsidP="003D5DC5">
      <w:pPr>
        <w:pStyle w:val="Cislovanie2"/>
        <w:tabs>
          <w:tab w:val="clear" w:pos="680"/>
        </w:tabs>
        <w:spacing w:after="0"/>
        <w:ind w:left="0" w:firstLine="0"/>
      </w:pPr>
    </w:p>
    <w:p w:rsidR="003D5DC5" w:rsidRPr="00EA4571" w:rsidRDefault="003D5DC5" w:rsidP="003D5DC5">
      <w:pPr>
        <w:tabs>
          <w:tab w:val="num" w:pos="567"/>
        </w:tabs>
        <w:jc w:val="both"/>
      </w:pPr>
      <w:proofErr w:type="spellStart"/>
      <w:r w:rsidRPr="00EA4571">
        <w:t>Dodávany</w:t>
      </w:r>
      <w:proofErr w:type="spellEnd"/>
      <w:r w:rsidRPr="00EA4571">
        <w:t>́ tovar musí byť nový/</w:t>
      </w:r>
      <w:proofErr w:type="spellStart"/>
      <w:r w:rsidRPr="00EA4571">
        <w:t>nepoužívany</w:t>
      </w:r>
      <w:proofErr w:type="spellEnd"/>
      <w:r w:rsidRPr="00EA4571">
        <w:t>́ podľa technickej špecifikácie</w:t>
      </w:r>
    </w:p>
    <w:p w:rsidR="003D5DC5" w:rsidRPr="00EA4571" w:rsidRDefault="003D5DC5" w:rsidP="003D5DC5">
      <w:pPr>
        <w:tabs>
          <w:tab w:val="left" w:pos="-3119"/>
        </w:tabs>
        <w:autoSpaceDE w:val="0"/>
        <w:autoSpaceDN w:val="0"/>
        <w:jc w:val="both"/>
        <w:rPr>
          <w:color w:val="000000"/>
          <w:lang w:eastAsia="cs-CZ"/>
        </w:rPr>
      </w:pPr>
    </w:p>
    <w:p w:rsidR="003D5DC5" w:rsidRPr="00EA4571" w:rsidRDefault="003D5DC5" w:rsidP="003D5DC5">
      <w:pPr>
        <w:jc w:val="both"/>
        <w:rPr>
          <w:color w:val="000000"/>
        </w:rPr>
      </w:pPr>
      <w:r w:rsidRPr="00EA4571">
        <w:rPr>
          <w:color w:val="000000"/>
        </w:rPr>
        <w:t xml:space="preserve">Predmet zákazky v celom rozsahu je opísaný tak, aby bol presne  a zrozumiteľne špecifikovaný. Ak niektorý z použitých parametrov, alebo rozpätie parametrov identifikuje konkrétny typ produktu, alebo produkt konkrétneho výrobcu, verejný obstarávateľ umožňuje nahradiť takýto produkt ekvivalentným produktom alebo ekvivalentom technického riešenia pod podmienkou, že </w:t>
      </w:r>
      <w:r w:rsidRPr="00EA4571">
        <w:rPr>
          <w:b/>
          <w:bCs/>
          <w:color w:val="000000"/>
        </w:rPr>
        <w:t>ekvivalentný produk</w:t>
      </w:r>
      <w:r w:rsidRPr="00EA4571">
        <w:rPr>
          <w:color w:val="000000"/>
        </w:rPr>
        <w:t xml:space="preserve">t alebo ekvivalentné technické riešenie </w:t>
      </w:r>
      <w:r w:rsidRPr="00EA4571">
        <w:rPr>
          <w:b/>
          <w:bCs/>
          <w:color w:val="000000"/>
        </w:rPr>
        <w:t>bude spĺňať plnohodnotne úžitkové, prevádzkové, funkčné, charakteristiky, ktoré sú nevyhnutné na zabezpečenie požadovaného účelu</w:t>
      </w:r>
      <w:r w:rsidRPr="00EA4571">
        <w:rPr>
          <w:color w:val="000000"/>
        </w:rPr>
        <w:t>.</w:t>
      </w:r>
    </w:p>
    <w:p w:rsidR="003D5DC5" w:rsidRDefault="003D5DC5" w:rsidP="003D5DC5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p w:rsidR="003D5DC5" w:rsidRDefault="003D5DC5" w:rsidP="003D5DC5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4412"/>
      </w:tblGrid>
      <w:tr w:rsidR="003D5DC5" w:rsidRPr="005E5D99" w:rsidTr="00580528">
        <w:trPr>
          <w:trHeight w:val="9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D5DC5" w:rsidRPr="005E5D99" w:rsidRDefault="003D5DC5" w:rsidP="00580528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D5DC5" w:rsidRPr="005E5D99" w:rsidRDefault="003D5DC5" w:rsidP="00580528">
            <w:pPr>
              <w:spacing w:before="120"/>
              <w:ind w:left="360"/>
              <w:rPr>
                <w:b/>
              </w:rPr>
            </w:pPr>
          </w:p>
        </w:tc>
      </w:tr>
      <w:tr w:rsidR="003D5DC5" w:rsidRPr="005E5D99" w:rsidTr="00580528">
        <w:trPr>
          <w:trHeight w:val="85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D5DC5" w:rsidRPr="005E5D99" w:rsidRDefault="003D5DC5" w:rsidP="00580528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DC5" w:rsidRPr="005E5D99" w:rsidRDefault="003D5DC5" w:rsidP="00580528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3D5DC5" w:rsidRPr="005E5D99" w:rsidRDefault="003D5DC5" w:rsidP="00580528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3D5DC5" w:rsidRPr="005E5D99" w:rsidRDefault="003D5DC5" w:rsidP="00580528">
            <w:pPr>
              <w:rPr>
                <w:lang w:eastAsia="cs-CZ"/>
              </w:rPr>
            </w:pPr>
          </w:p>
        </w:tc>
      </w:tr>
    </w:tbl>
    <w:p w:rsidR="00320DE7" w:rsidRPr="00CD0C34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320DE7" w:rsidRDefault="00320DE7"/>
    <w:sectPr w:rsidR="0032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59E" w:rsidRDefault="0040159E" w:rsidP="00D7542B">
      <w:r>
        <w:separator/>
      </w:r>
    </w:p>
  </w:endnote>
  <w:endnote w:type="continuationSeparator" w:id="0">
    <w:p w:rsidR="0040159E" w:rsidRDefault="0040159E" w:rsidP="00D7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59E" w:rsidRDefault="0040159E" w:rsidP="00D7542B">
      <w:r>
        <w:separator/>
      </w:r>
    </w:p>
  </w:footnote>
  <w:footnote w:type="continuationSeparator" w:id="0">
    <w:p w:rsidR="0040159E" w:rsidRDefault="0040159E" w:rsidP="00D7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7"/>
    <w:rsid w:val="0010578F"/>
    <w:rsid w:val="0014081F"/>
    <w:rsid w:val="00176CBF"/>
    <w:rsid w:val="001B090F"/>
    <w:rsid w:val="0027658C"/>
    <w:rsid w:val="00320DE7"/>
    <w:rsid w:val="003D5DC5"/>
    <w:rsid w:val="0040159E"/>
    <w:rsid w:val="00463D4B"/>
    <w:rsid w:val="004E0F5C"/>
    <w:rsid w:val="00526106"/>
    <w:rsid w:val="00541761"/>
    <w:rsid w:val="00584F27"/>
    <w:rsid w:val="005A12DC"/>
    <w:rsid w:val="005F329E"/>
    <w:rsid w:val="00673989"/>
    <w:rsid w:val="00722252"/>
    <w:rsid w:val="008105DB"/>
    <w:rsid w:val="008455A8"/>
    <w:rsid w:val="008947E8"/>
    <w:rsid w:val="00913273"/>
    <w:rsid w:val="00B67C22"/>
    <w:rsid w:val="00B87C37"/>
    <w:rsid w:val="00BF5787"/>
    <w:rsid w:val="00CE339F"/>
    <w:rsid w:val="00D205E1"/>
    <w:rsid w:val="00D7542B"/>
    <w:rsid w:val="00E64342"/>
    <w:rsid w:val="00E74B0B"/>
    <w:rsid w:val="00E829E3"/>
    <w:rsid w:val="00EB60AC"/>
    <w:rsid w:val="00EF54A5"/>
    <w:rsid w:val="00F012C0"/>
    <w:rsid w:val="00FB14F4"/>
    <w:rsid w:val="00FE66F7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2399"/>
  <w15:chartTrackingRefBased/>
  <w15:docId w15:val="{5D7124B4-4687-614D-9775-C8919F1E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090F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0D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0D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Odsekzoznamu">
    <w:name w:val="List Paragraph"/>
    <w:basedOn w:val="Normlny"/>
    <w:uiPriority w:val="34"/>
    <w:qFormat/>
    <w:rsid w:val="00320D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7542B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7542B"/>
    <w:rPr>
      <w:sz w:val="22"/>
      <w:szCs w:val="22"/>
    </w:rPr>
  </w:style>
  <w:style w:type="paragraph" w:styleId="Zkladntext">
    <w:name w:val="Body Text"/>
    <w:aliases w:val="Obsah"/>
    <w:basedOn w:val="Normlny"/>
    <w:link w:val="ZkladntextChar"/>
    <w:qFormat/>
    <w:rsid w:val="003D5DC5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D5DC5"/>
    <w:rPr>
      <w:rFonts w:ascii="Times New Roman" w:eastAsia="Times New Roman" w:hAnsi="Times New Roman" w:cs="Times New Roman"/>
      <w:b/>
      <w:szCs w:val="20"/>
      <w:lang w:eastAsia="sk-SK"/>
    </w:rPr>
  </w:style>
  <w:style w:type="paragraph" w:customStyle="1" w:styleId="SPNadpis4">
    <w:name w:val="SP_Nadpis4"/>
    <w:basedOn w:val="SPNadpis3"/>
    <w:qFormat/>
    <w:rsid w:val="003D5DC5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D5DC5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Cislovanie2">
    <w:name w:val="Cislovanie2"/>
    <w:basedOn w:val="Normlny"/>
    <w:rsid w:val="003D5DC5"/>
    <w:pPr>
      <w:tabs>
        <w:tab w:val="num" w:pos="680"/>
      </w:tabs>
      <w:spacing w:after="120"/>
      <w:ind w:left="680" w:hanging="68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Štepková</dc:creator>
  <cp:keywords/>
  <dc:description/>
  <cp:lastModifiedBy>Microsoft Office User</cp:lastModifiedBy>
  <cp:revision>2</cp:revision>
  <dcterms:created xsi:type="dcterms:W3CDTF">2023-03-31T15:25:00Z</dcterms:created>
  <dcterms:modified xsi:type="dcterms:W3CDTF">2023-03-31T15:25:00Z</dcterms:modified>
</cp:coreProperties>
</file>