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EF" w:rsidRPr="00C90B4E" w:rsidRDefault="00FD48EF" w:rsidP="00FD48EF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3 </w:t>
      </w:r>
      <w:r w:rsidR="005978D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k osloveniu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FD48EF" w:rsidRPr="00AC0803" w:rsidTr="00233BE5">
        <w:tc>
          <w:tcPr>
            <w:tcW w:w="4388" w:type="dxa"/>
            <w:shd w:val="clear" w:color="auto" w:fill="DBE5F1"/>
          </w:tcPr>
          <w:p w:rsidR="00FD48EF" w:rsidRPr="000802FD" w:rsidRDefault="00FD48EF" w:rsidP="00233BE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ab/>
            </w:r>
            <w:r w:rsidRPr="00C90B4E"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80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FD48EF" w:rsidRPr="000802FD" w:rsidRDefault="00AC0803" w:rsidP="00233BE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80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Mesto Tornaľa, </w:t>
            </w:r>
            <w:r w:rsidRPr="000802FD">
              <w:rPr>
                <w:rFonts w:asciiTheme="minorHAnsi" w:hAnsiTheme="minorHAnsi" w:cstheme="minorHAnsi"/>
                <w:sz w:val="20"/>
                <w:szCs w:val="20"/>
              </w:rPr>
              <w:t>Mierová 14, 982 01 Tornaľa</w:t>
            </w:r>
          </w:p>
        </w:tc>
      </w:tr>
      <w:tr w:rsidR="00FD48EF" w:rsidRPr="00AC0803" w:rsidTr="00233BE5">
        <w:tc>
          <w:tcPr>
            <w:tcW w:w="4388" w:type="dxa"/>
            <w:shd w:val="clear" w:color="auto" w:fill="DBE5F1"/>
          </w:tcPr>
          <w:p w:rsidR="00FD48EF" w:rsidRPr="000802FD" w:rsidRDefault="00FD48EF" w:rsidP="00233BE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02F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FD48EF" w:rsidRPr="000802FD" w:rsidRDefault="00AC0803" w:rsidP="00AC0803">
            <w:pPr>
              <w:ind w:left="36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802FD">
              <w:rPr>
                <w:rFonts w:asciiTheme="minorHAnsi" w:hAnsiTheme="minorHAnsi" w:cstheme="minorHAnsi"/>
                <w:b/>
                <w:sz w:val="20"/>
                <w:szCs w:val="20"/>
              </w:rPr>
              <w:t>Výstražný a varovný systém bez hraníc pre bezpečný život v meste Tornaľa</w:t>
            </w:r>
          </w:p>
        </w:tc>
      </w:tr>
    </w:tbl>
    <w:p w:rsidR="00FD48EF" w:rsidRDefault="00FD48EF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FD48EF" w:rsidRPr="009F6FF5" w:rsidRDefault="00FD48EF" w:rsidP="00FD48E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FD48EF" w:rsidRPr="009F6FF5" w:rsidRDefault="00FD48EF" w:rsidP="00FD48EF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FD48EF" w:rsidRPr="00092A73" w:rsidTr="00233BE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FD48EF" w:rsidRPr="00B14F96" w:rsidRDefault="00FD48EF" w:rsidP="00233BE5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FD48EF" w:rsidRPr="00092A73" w:rsidRDefault="00FD48EF" w:rsidP="00233BE5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FD48EF" w:rsidRPr="00092A73" w:rsidTr="00233BE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FD48EF" w:rsidRPr="00092A73" w:rsidRDefault="00FD48EF" w:rsidP="00233BE5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FD48EF" w:rsidRPr="00092A73" w:rsidRDefault="00FD48EF" w:rsidP="00233BE5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FD48EF" w:rsidRDefault="00FD48EF" w:rsidP="00FD48EF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FD48EF" w:rsidRPr="00AB11C3" w:rsidTr="0018096D">
        <w:trPr>
          <w:trHeight w:val="2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48EF" w:rsidRPr="00AB11C3" w:rsidRDefault="00FD48EF" w:rsidP="00233BE5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EF" w:rsidRPr="00FC2C94" w:rsidRDefault="00AC0803" w:rsidP="00AC0803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FC2C94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  <w:t xml:space="preserve">Položky technického vybavenia </w:t>
            </w:r>
          </w:p>
        </w:tc>
      </w:tr>
      <w:tr w:rsidR="00FD48EF" w:rsidRPr="00AB11C3" w:rsidTr="00233BE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FD48EF" w:rsidRPr="00AB11C3" w:rsidTr="00233BE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7F85" w:rsidRDefault="00FD48EF" w:rsidP="00FD48EF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 xml:space="preserve">Navrhovaná špecifikácia predmetu zákazky </w:t>
            </w:r>
            <w:r w:rsidR="002C7F85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–</w:t>
            </w: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 xml:space="preserve"> ÁNO</w:t>
            </w:r>
            <w:r w:rsidR="002C7F85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 xml:space="preserve"> </w:t>
            </w: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/NIE/Ekvivalent , Výrobca/typ.ozn.</w:t>
            </w:r>
            <w:r w:rsidR="000802F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 xml:space="preserve"> </w:t>
            </w:r>
          </w:p>
          <w:p w:rsidR="00FD48EF" w:rsidRPr="00AB11C3" w:rsidRDefault="00FC2C94" w:rsidP="00FD48EF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FC2C94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sk-SK"/>
              </w:rPr>
              <w:t>VYPLNIŤ</w:t>
            </w:r>
            <w:r w:rsidR="002C7F85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sk-SK"/>
              </w:rPr>
              <w:t xml:space="preserve"> PRI KAŽDEJ POLOŽKE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4B4F50" w:rsidRDefault="00FD48EF" w:rsidP="00FD48EF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Rozhlasový bezdrôtový koncový bod, hlásič digitálny</w:t>
            </w:r>
          </w:p>
        </w:tc>
      </w:tr>
      <w:tr w:rsidR="00FD48EF" w:rsidRPr="00AB11C3" w:rsidTr="000802FD">
        <w:trPr>
          <w:trHeight w:val="8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A869FA" w:rsidP="00A869FA">
            <w:pPr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869FA">
              <w:rPr>
                <w:rFonts w:asciiTheme="minorHAnsi" w:hAnsiTheme="minorHAnsi" w:cstheme="minorHAnsi"/>
                <w:sz w:val="16"/>
                <w:szCs w:val="16"/>
              </w:rPr>
              <w:t xml:space="preserve">Akustické hlásiče predstavujú diaľkovo ovládané koncové akustické prvky, ktoré sú ovládané z rozhlasovej ústredne. V konfigurácii sa používa rozhlasová ústredňa a akustické hlásiče podľa potreby tak, aby bolo zvukovým signálom dobre pokryté požadované územie. Akustické hlásiče budú umiestnené každých 150 – 200m. V mieste výskytu terénnych prekážok sa môžu inštalovať </w:t>
            </w:r>
            <w:proofErr w:type="spellStart"/>
            <w:r w:rsidRPr="00A869FA">
              <w:rPr>
                <w:rFonts w:asciiTheme="minorHAnsi" w:hAnsiTheme="minorHAnsi" w:cstheme="minorHAnsi"/>
                <w:sz w:val="16"/>
                <w:szCs w:val="16"/>
              </w:rPr>
              <w:t>retlanslačné</w:t>
            </w:r>
            <w:proofErr w:type="spellEnd"/>
            <w:r w:rsidRPr="00A869FA">
              <w:rPr>
                <w:rFonts w:asciiTheme="minorHAnsi" w:hAnsiTheme="minorHAnsi" w:cstheme="minorHAnsi"/>
                <w:sz w:val="16"/>
                <w:szCs w:val="16"/>
              </w:rPr>
              <w:t xml:space="preserve"> stanice na prenos signálu.</w:t>
            </w:r>
          </w:p>
        </w:tc>
      </w:tr>
      <w:tr w:rsidR="00FD48EF" w:rsidRPr="00AB11C3" w:rsidTr="00FC2C94">
        <w:trPr>
          <w:trHeight w:val="3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FD48EF" w:rsidRDefault="00FD48EF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Vysielací pult</w:t>
            </w:r>
          </w:p>
        </w:tc>
      </w:tr>
      <w:tr w:rsidR="00FD48EF" w:rsidRPr="00AB11C3" w:rsidTr="00233BE5">
        <w:trPr>
          <w:trHeight w:val="14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B03F3" w:rsidRDefault="00A869FA" w:rsidP="00A869F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869FA">
              <w:rPr>
                <w:rFonts w:asciiTheme="minorHAnsi" w:hAnsiTheme="minorHAnsi" w:cstheme="minorHAnsi"/>
                <w:sz w:val="16"/>
                <w:szCs w:val="16"/>
              </w:rPr>
              <w:t>Ústredňa bezdrôtového vyrozumievacieho a varovného systému je ovládaná prostredníctvom ovládacieho pultu OCP11, ktorý slúži na priamu interakciu systém s obsluhou a umožňuje: - Aktiváciu akustických hlásičov - Vstup zvukového signálu z mikrofónu - Pripojenie ďalších zdrojov signálov ako sú CD prehrávač, rádio a podobne - Spúšťanie hlásení a poplachov uložených vo svojej digitálnej pamäti - Prepojenie na štátny varovný systém SEHIS - Prepojenie na iné systémy a aktiváciu hlásení/poplachov na základe informácií z týchto systémov (</w:t>
            </w:r>
            <w:proofErr w:type="spellStart"/>
            <w:r w:rsidRPr="00A869FA">
              <w:rPr>
                <w:rFonts w:asciiTheme="minorHAnsi" w:hAnsiTheme="minorHAnsi" w:cstheme="minorHAnsi"/>
                <w:sz w:val="16"/>
                <w:szCs w:val="16"/>
              </w:rPr>
              <w:t>čidiel</w:t>
            </w:r>
            <w:proofErr w:type="spellEnd"/>
            <w:r w:rsidRPr="00A869FA">
              <w:rPr>
                <w:rFonts w:asciiTheme="minorHAnsi" w:hAnsiTheme="minorHAnsi" w:cstheme="minorHAnsi"/>
                <w:sz w:val="16"/>
                <w:szCs w:val="16"/>
              </w:rPr>
              <w:t xml:space="preserve"> pre monitoring ovzdušia, povodní a pod. - Možnosť aktivovať iné systémy prostredníctvom samostatných výstupov, napr. pripojenie káblovej televízie a pod. - Pripojenie nadriadeného počítača s programovým vybavením.</w:t>
            </w:r>
          </w:p>
        </w:tc>
      </w:tr>
      <w:tr w:rsidR="00FD48EF" w:rsidRPr="00AB11C3" w:rsidTr="00FC2C94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B03F3" w:rsidRDefault="00FD48EF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Rozhlasová ústredňa s anténou</w:t>
            </w:r>
          </w:p>
        </w:tc>
      </w:tr>
      <w:tr w:rsidR="00FD48EF" w:rsidRPr="00AB11C3" w:rsidTr="00233BE5">
        <w:trPr>
          <w:trHeight w:val="12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A869FA" w:rsidP="00A869FA">
            <w:pPr>
              <w:spacing w:before="100" w:beforeAutospacing="1" w:afterAutospacing="1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869FA">
              <w:rPr>
                <w:rFonts w:asciiTheme="minorHAnsi" w:hAnsiTheme="minorHAnsi" w:cstheme="minorHAnsi"/>
                <w:sz w:val="16"/>
                <w:szCs w:val="16"/>
              </w:rPr>
              <w:t>Ústredňa bezdrôtového vyrozumievacieho a varovného systému umožňuje: - Generálnu a skupinovú aktiváciu akustických hlásičov ;- Aktiváciu systému a vysielanie zvukového signálu z mobilného telefónu, pevnej telefónnej linky a z internetu;- Vyrozumenie o poruchách rozhlasovej ústredne cez SMS alebo telefón; - Automatické spúšťanie hlásení podľa nastaveného časového plánu; - Prípravu potrebných hlásení do PC napr. cez mikrofón, z MP3 súborov alebo z CD prehrávača; - Automatická archivácia udalostí a zásahov obsluhy v systéme ; - Periodická kontrola rozhlasovej ústredne (výpadok sieťového napájania, stav akumulátora);  - Periodická kontrola akustických hlásičov (stav akumulátora); - Zobrazovanie prevádzkových stavov akustických hlásičov, hodnôt z monitorovacích senzorov a pod. ; - Informácie o poruchových stavoch v systéme akustickými hláseniami a informáciou v samostatnom okne v PC pre okamžitú informáciu obsluhy</w:t>
            </w:r>
          </w:p>
        </w:tc>
      </w:tr>
      <w:tr w:rsidR="00FD48EF" w:rsidRPr="00AB11C3" w:rsidTr="00FC2C94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930352" w:rsidRDefault="00BB03F3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Ovládacia jednotka varovného systému</w:t>
            </w:r>
          </w:p>
        </w:tc>
      </w:tr>
      <w:tr w:rsidR="00FD48EF" w:rsidRPr="00AB11C3" w:rsidTr="00233BE5">
        <w:trPr>
          <w:trHeight w:val="8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B03F3" w:rsidRDefault="00BB03F3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BB03F3">
              <w:rPr>
                <w:rFonts w:asciiTheme="minorHAnsi" w:hAnsiTheme="minorHAnsi" w:cstheme="minorHAnsi"/>
                <w:sz w:val="16"/>
                <w:szCs w:val="16"/>
              </w:rPr>
              <w:t>24 znakový LCD displej vyhradené tlačidlo pre vyvolanie tímov, tri tlačidlá pre rôzne odosielanie správ interný mikrofón pre odosielanie hlasových správ interný reproduktor pre spätný hovor prostriedky pre správu a diagnostiku systému odosielanie predprogramovaných textových správ Ovládací panel LCU poskytuje najúspornejší spôsob manuálneho odosielania</w:t>
            </w:r>
            <w:r w:rsidR="00FD48EF" w:rsidRPr="00BB03F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FD48EF" w:rsidRPr="00AB11C3" w:rsidTr="00FC2C94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BB03F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B03F3" w:rsidRDefault="00930352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BB03F3"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odul GSM/GPRS  </w:t>
            </w:r>
          </w:p>
        </w:tc>
      </w:tr>
      <w:tr w:rsidR="00FD48EF" w:rsidRPr="00AB11C3" w:rsidTr="00233BE5">
        <w:trPr>
          <w:trHeight w:val="12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B03F3" w:rsidRDefault="00A869FA" w:rsidP="00A869F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869FA">
              <w:rPr>
                <w:rFonts w:asciiTheme="minorHAnsi" w:hAnsiTheme="minorHAnsi" w:cstheme="minorHAnsi"/>
                <w:sz w:val="16"/>
                <w:szCs w:val="16"/>
              </w:rPr>
              <w:t xml:space="preserve">Hlavnou úlohou modulu je monitorovanie stavu vstupov. Zmena stavu spúšťa kódovaný prenos na PCO cez GPRS (napr. na PCO STAM-2 alebo konvertor SMET-256). Dostupné je taktiež zasielanie kódov pomocou SMS správ na nadefinované telefónne čísla alebo na PCO obsluhujúce tento formát. V prípade problémov s prenosom GPRS môže modul automaticky prepnúť na režim monitoringu SMS. Na realizáciu niektorých funkcií existuje taktiež možnosť využívania služby CLIP. Zaisťuje to bezplatné spúšťanie testu prenosu. Spôsob stanovenia výšky výdavku  a komentár – prieskum trhu na určenie predpokladanej hodnoty zákazky, boli oslovené 3 spoločnosti. Cena bola určená na základe priemeru jednotlivých položiek s cenami. Počet jednotiek -1 ks GPRS-T2 umožňuje diaľkovú kontrolu činnosti dvoch rôznych zariadení, v tom aj </w:t>
            </w:r>
            <w:r w:rsidRPr="00A869F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zabezpečovacích ústrední bez telefónneho komunikátora. Programovanie a konfigurácia modulu pomocou počítača s programom GPRS-SOFT môže byť vykonávaná lokálne cez RS-232 alebo diaľkovo cez GPRS. Niektoré parametre je možné programovať pomocou SMS správ. Modul má 5 programovateľných vstupov: digitálnych (NO, NC) alebo analógových. Po nakonfigurovaní vstupov ako analógové, môžu byť využívané v systémoch automatizácie alebo na monitorovanie širokej škály externých zariadení, ako sú analógové detektory teploty, tlaku, vlhkosti a podobne.</w:t>
            </w:r>
          </w:p>
        </w:tc>
      </w:tr>
      <w:tr w:rsidR="00FD48EF" w:rsidRPr="00AB11C3" w:rsidTr="00FC2C94">
        <w:trPr>
          <w:trHeight w:val="34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B03F3" w:rsidRDefault="00930352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BB03F3"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odul: ovládanie cez telefón</w:t>
            </w:r>
          </w:p>
        </w:tc>
      </w:tr>
      <w:tr w:rsidR="00FD48EF" w:rsidRPr="00AB11C3" w:rsidTr="00233BE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7B3386" w:rsidP="00914E4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72A05">
              <w:rPr>
                <w:rFonts w:asciiTheme="minorHAnsi" w:hAnsiTheme="minorHAnsi" w:cstheme="minorHAnsi"/>
                <w:sz w:val="18"/>
                <w:szCs w:val="18"/>
              </w:rPr>
              <w:t>Pri napojení varovné</w:t>
            </w:r>
            <w:r w:rsidR="00914E49">
              <w:rPr>
                <w:rFonts w:asciiTheme="minorHAnsi" w:hAnsiTheme="minorHAnsi" w:cstheme="minorHAnsi"/>
                <w:sz w:val="18"/>
                <w:szCs w:val="18"/>
              </w:rPr>
              <w:t xml:space="preserve">ho systému na </w:t>
            </w:r>
            <w:r w:rsidR="00914E49" w:rsidRPr="00A869FA">
              <w:rPr>
                <w:rFonts w:asciiTheme="minorHAnsi" w:hAnsiTheme="minorHAnsi" w:cstheme="minorHAnsi"/>
                <w:sz w:val="18"/>
                <w:szCs w:val="18"/>
              </w:rPr>
              <w:t>bezdrôtový systém hlásičov</w:t>
            </w:r>
            <w:r w:rsidRPr="00A869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69FA">
              <w:rPr>
                <w:rFonts w:asciiTheme="minorHAnsi" w:hAnsiTheme="minorHAnsi" w:cstheme="minorHAnsi"/>
                <w:sz w:val="18"/>
                <w:szCs w:val="18"/>
              </w:rPr>
              <w:t xml:space="preserve">(vyrozumievací systém) </w:t>
            </w:r>
            <w:r w:rsidRPr="00A869FA">
              <w:rPr>
                <w:rFonts w:asciiTheme="minorHAnsi" w:hAnsiTheme="minorHAnsi" w:cstheme="minorHAnsi"/>
                <w:sz w:val="18"/>
                <w:szCs w:val="18"/>
              </w:rPr>
              <w:t xml:space="preserve">nie je starosta obmedzený iba na príjem SMS správ alebo automatizované odvysielanie predpripravených hlásení ale môže napríklad prostredníctvom svojho mobilného telefónu odvysielať do </w:t>
            </w:r>
            <w:r w:rsidR="00914E49" w:rsidRPr="00A869FA">
              <w:rPr>
                <w:rFonts w:asciiTheme="minorHAnsi" w:hAnsiTheme="minorHAnsi" w:cstheme="minorHAnsi"/>
                <w:sz w:val="18"/>
                <w:szCs w:val="18"/>
              </w:rPr>
              <w:t>siete hlásičov</w:t>
            </w:r>
            <w:r w:rsidRPr="00A869FA">
              <w:rPr>
                <w:rFonts w:asciiTheme="minorHAnsi" w:hAnsiTheme="minorHAnsi" w:cstheme="minorHAnsi"/>
                <w:sz w:val="18"/>
                <w:szCs w:val="18"/>
              </w:rPr>
              <w:t xml:space="preserve"> živé hlásenie</w:t>
            </w:r>
            <w:r w:rsidRPr="00A72A05">
              <w:rPr>
                <w:rFonts w:asciiTheme="minorHAnsi" w:hAnsiTheme="minorHAnsi" w:cstheme="minorHAnsi"/>
                <w:sz w:val="18"/>
                <w:szCs w:val="18"/>
              </w:rPr>
              <w:t xml:space="preserve"> s pokynmi</w:t>
            </w:r>
          </w:p>
        </w:tc>
      </w:tr>
      <w:tr w:rsidR="00FD48EF" w:rsidRPr="00AB11C3" w:rsidTr="002E4B44">
        <w:trPr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4B4F50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B4F50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4B4F50" w:rsidRDefault="00930352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7B3386"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odul: vyrozumenie na telefón a SMS</w:t>
            </w:r>
          </w:p>
        </w:tc>
      </w:tr>
      <w:tr w:rsidR="00FD48EF" w:rsidRPr="00AB11C3" w:rsidTr="007B3386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B275BC" w:rsidP="00B275B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B275BC">
              <w:rPr>
                <w:rFonts w:asciiTheme="minorHAnsi" w:hAnsiTheme="minorHAnsi" w:cstheme="minorHAnsi"/>
                <w:sz w:val="16"/>
                <w:szCs w:val="16"/>
              </w:rPr>
              <w:t>Rozhlasová ústredňa a riadiaci počítač na základe nich vykoná nastavenú úlohu: - odvysiela do vyrozumievacieho systému varovanie - pošle SMS starostovi a kompetentným osobám - umožní starostovi odvysielať živé hlásenie prostredníctvom jeho mobilného telefónu alebo prostredníctvom rozhlasovej ústredne - hromadne odošle SMS všetkým obyvateľom obce podľa pripraveného zoznamu</w:t>
            </w:r>
          </w:p>
        </w:tc>
      </w:tr>
      <w:tr w:rsidR="00FD48EF" w:rsidRPr="00AB11C3" w:rsidTr="002E4B44">
        <w:trPr>
          <w:trHeight w:val="32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930352" w:rsidRDefault="00930352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7B3386"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odul: prepojenie s </w:t>
            </w:r>
            <w:proofErr w:type="spellStart"/>
            <w:r w:rsidR="007B3386"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meteostanicou</w:t>
            </w:r>
            <w:proofErr w:type="spellEnd"/>
          </w:p>
        </w:tc>
      </w:tr>
      <w:tr w:rsidR="00FD48EF" w:rsidRPr="00AB11C3" w:rsidTr="0018096D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7B3386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72A05">
              <w:rPr>
                <w:rFonts w:asciiTheme="minorHAnsi" w:hAnsiTheme="minorHAnsi" w:cstheme="minorHAnsi"/>
                <w:sz w:val="18"/>
                <w:szCs w:val="18"/>
              </w:rPr>
              <w:t>Zaisťuje meranie, výpočet, zobrazenie, signalizáciu a prenos údajov</w:t>
            </w:r>
          </w:p>
        </w:tc>
      </w:tr>
      <w:tr w:rsidR="00FD48EF" w:rsidRPr="00AB11C3" w:rsidTr="002E4B44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930352" w:rsidRDefault="00930352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B4F5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  <w:r w:rsidR="007B3386" w:rsidRPr="004B4F5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eteostanica</w:t>
            </w:r>
            <w:proofErr w:type="spellEnd"/>
          </w:p>
        </w:tc>
      </w:tr>
      <w:tr w:rsidR="00FD48EF" w:rsidRPr="00AB11C3" w:rsidTr="000802F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7B3386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72A0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Sníma teplotu a vlhkosť vzduchu v pravidelných intervaloch</w:t>
            </w:r>
          </w:p>
        </w:tc>
      </w:tr>
      <w:tr w:rsidR="00FD48EF" w:rsidRPr="00AB11C3" w:rsidTr="002E4B44">
        <w:trPr>
          <w:trHeight w:val="2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930352" w:rsidRDefault="007B3386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Anemometer</w:t>
            </w:r>
          </w:p>
        </w:tc>
      </w:tr>
      <w:tr w:rsidR="00FD48EF" w:rsidRPr="00AB11C3" w:rsidTr="007B3386">
        <w:trPr>
          <w:trHeight w:val="4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7B3386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72A05">
              <w:rPr>
                <w:rFonts w:asciiTheme="minorHAnsi" w:hAnsiTheme="minorHAnsi" w:cstheme="minorHAnsi"/>
                <w:sz w:val="18"/>
                <w:szCs w:val="18"/>
              </w:rPr>
              <w:t>používa pre meranie rýchlosti vetra rotačný lopatkový kríž a pre meranie smeru vetra otočnú lopatkovú smerovku. Snímanie otáčok kríža a polohy natočenia smerovky je prevádzané optoelektronicky</w:t>
            </w:r>
            <w:r w:rsidRPr="00AB11C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FD48EF" w:rsidRPr="00AB11C3" w:rsidTr="002E4B44">
        <w:trPr>
          <w:trHeight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4B4F50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4B4F50" w:rsidRDefault="007B3386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Zrážkomer</w:t>
            </w:r>
          </w:p>
        </w:tc>
      </w:tr>
      <w:tr w:rsidR="00FD48EF" w:rsidRPr="00AB11C3" w:rsidTr="000802FD">
        <w:trPr>
          <w:trHeight w:val="5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AB11C3" w:rsidRDefault="007B3386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72A05">
              <w:rPr>
                <w:rFonts w:asciiTheme="minorHAnsi" w:hAnsiTheme="minorHAnsi" w:cstheme="minorHAnsi"/>
                <w:sz w:val="18"/>
                <w:szCs w:val="18"/>
              </w:rPr>
              <w:t xml:space="preserve">je určený pre meranie kvapalných i tuhých zrážok. Zrážky sú merané člnkovým mechanizmom s citlivosťou 0,1 mm zrážok. Zrážkomer so </w:t>
            </w:r>
            <w:r w:rsidRPr="00A869FA">
              <w:rPr>
                <w:rFonts w:asciiTheme="minorHAnsi" w:hAnsiTheme="minorHAnsi" w:cstheme="minorHAnsi"/>
                <w:sz w:val="18"/>
                <w:szCs w:val="18"/>
              </w:rPr>
              <w:t xml:space="preserve">stanicou </w:t>
            </w:r>
            <w:r w:rsidRPr="00A869FA">
              <w:rPr>
                <w:rFonts w:asciiTheme="minorHAnsi" w:hAnsiTheme="minorHAnsi" w:cstheme="minorHAnsi"/>
                <w:b/>
                <w:sz w:val="18"/>
                <w:szCs w:val="18"/>
              </w:rPr>
              <w:t>WS981</w:t>
            </w:r>
            <w:r w:rsidRPr="00A869FA">
              <w:rPr>
                <w:rFonts w:asciiTheme="minorHAnsi" w:hAnsiTheme="minorHAnsi" w:cstheme="minorHAnsi"/>
                <w:sz w:val="18"/>
                <w:szCs w:val="18"/>
              </w:rPr>
              <w:t xml:space="preserve"> a GSM</w:t>
            </w:r>
            <w:r w:rsidRPr="00A72A05">
              <w:rPr>
                <w:rFonts w:asciiTheme="minorHAnsi" w:hAnsiTheme="minorHAnsi" w:cstheme="minorHAnsi"/>
                <w:sz w:val="18"/>
                <w:szCs w:val="18"/>
              </w:rPr>
              <w:t xml:space="preserve"> modemom je možné využiť ako varovný systém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D48EF" w:rsidRPr="00AB11C3" w:rsidTr="002E4B44">
        <w:trPr>
          <w:trHeight w:val="26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4B4F50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4B4F50" w:rsidRDefault="007B3386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>Aplikačný softvér</w:t>
            </w:r>
          </w:p>
        </w:tc>
      </w:tr>
      <w:tr w:rsidR="00FD48EF" w:rsidRPr="00AB11C3" w:rsidTr="00AC0803">
        <w:trPr>
          <w:trHeight w:val="32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275BC" w:rsidRDefault="00B275BC" w:rsidP="00930352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B275BC">
              <w:rPr>
                <w:rFonts w:asciiTheme="minorHAnsi" w:hAnsiTheme="minorHAnsi"/>
                <w:color w:val="222222"/>
                <w:sz w:val="16"/>
                <w:szCs w:val="16"/>
              </w:rPr>
              <w:t>umožňuje operátorom ovládať akustické prostriedky varovania, automatizovane zvládať krízové situácie a jednoducho zvolávať krízové štáby a záchranné zložky.</w:t>
            </w:r>
          </w:p>
        </w:tc>
      </w:tr>
      <w:tr w:rsidR="00FD48EF" w:rsidRPr="00AB11C3" w:rsidTr="002E4B44">
        <w:trPr>
          <w:trHeight w:val="1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D48EF" w:rsidRPr="00AB11C3" w:rsidTr="00233BE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4B4F50" w:rsidRDefault="00930352" w:rsidP="00233BE5">
            <w:pPr>
              <w:widowControl/>
              <w:suppressAutoHyphens w:val="0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4B4F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PC pre archiváciu a zber dát  </w:t>
            </w:r>
          </w:p>
        </w:tc>
      </w:tr>
      <w:tr w:rsidR="00FD48EF" w:rsidRPr="00AB11C3" w:rsidTr="0018096D">
        <w:trPr>
          <w:trHeight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8EF" w:rsidRPr="00B275BC" w:rsidRDefault="00B275BC" w:rsidP="00930352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B275BC">
              <w:rPr>
                <w:rFonts w:asciiTheme="minorHAnsi" w:hAnsiTheme="minorHAnsi"/>
                <w:color w:val="222222"/>
                <w:sz w:val="16"/>
                <w:szCs w:val="16"/>
              </w:rPr>
              <w:t>zbiera a umožňuje sledovať údaje z monitorovacích zariadení, vyhodnocuje údaje zo senzorov, ovláda prostriedky monitoringu a regulácie v systéme</w:t>
            </w:r>
          </w:p>
        </w:tc>
      </w:tr>
      <w:tr w:rsidR="00FD48EF" w:rsidRPr="00AB11C3" w:rsidTr="00E6792C">
        <w:trPr>
          <w:trHeight w:val="29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D48EF" w:rsidRPr="00AB11C3" w:rsidRDefault="00FD48EF" w:rsidP="00233BE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2E4B44" w:rsidRDefault="002E4B44" w:rsidP="002E4B44">
      <w:pPr>
        <w:suppressAutoHyphens w:val="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E4B44" w:rsidRPr="00207C7A" w:rsidRDefault="002E4B44" w:rsidP="002E4B44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7C7A">
        <w:rPr>
          <w:rFonts w:asciiTheme="minorHAnsi" w:hAnsiTheme="minorHAnsi" w:cstheme="minorHAnsi"/>
          <w:sz w:val="20"/>
          <w:szCs w:val="20"/>
        </w:rPr>
        <w:t>Dodávka systému zahŕňa montáž vrátane elektroinštalačného materiálu a napojenie na SEHIS (celoštátny varovný a vyrozumievací systém) a jeho odskúšanie a uvedenie do prevádzky</w:t>
      </w:r>
      <w:r w:rsidR="00207C7A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2E4B44" w:rsidRDefault="002E4B44" w:rsidP="0018096D"/>
    <w:p w:rsidR="0018096D" w:rsidRDefault="000802FD" w:rsidP="0018096D">
      <w:r>
        <w:t>V............................. dňa..............................</w:t>
      </w:r>
    </w:p>
    <w:p w:rsidR="00FC2C94" w:rsidRDefault="00FC2C94" w:rsidP="004B4F50"/>
    <w:p w:rsidR="00FC2C94" w:rsidRDefault="00FC2C94" w:rsidP="00FC2C94">
      <w:pPr>
        <w:autoSpaceDE w:val="0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                                   ......................................................... </w:t>
      </w:r>
    </w:p>
    <w:p w:rsidR="00FC2C94" w:rsidRDefault="00FC2C94" w:rsidP="00FC2C94">
      <w:pPr>
        <w:tabs>
          <w:tab w:val="left" w:pos="7515"/>
        </w:tabs>
        <w:autoSpaceDE w:val="0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          Meno a podpis osoby (osôb), oprávnenej konať za uchádzača</w:t>
      </w:r>
    </w:p>
    <w:p w:rsidR="00FC2C94" w:rsidRDefault="00FC2C94" w:rsidP="00FC2C94">
      <w:pPr>
        <w:autoSpaceDE w:val="0"/>
        <w:rPr>
          <w:rFonts w:cs="Arial"/>
          <w:sz w:val="20"/>
          <w:szCs w:val="20"/>
        </w:rPr>
      </w:pPr>
      <w:r>
        <w:rPr>
          <w:rFonts w:cs="Calibri Light"/>
        </w:rPr>
        <w:t xml:space="preserve">                                                                </w:t>
      </w:r>
      <w:r>
        <w:rPr>
          <w:rFonts w:cs="Calibri Light"/>
        </w:rPr>
        <w:tab/>
        <w:t xml:space="preserve">                                         </w:t>
      </w:r>
    </w:p>
    <w:p w:rsidR="00FC2C94" w:rsidRDefault="00FC2C94" w:rsidP="004B4F50"/>
    <w:sectPr w:rsidR="00FC2C94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57A4"/>
    <w:multiLevelType w:val="hybridMultilevel"/>
    <w:tmpl w:val="CA26C0A4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F"/>
    <w:rsid w:val="000802FD"/>
    <w:rsid w:val="0018096D"/>
    <w:rsid w:val="001D0EFA"/>
    <w:rsid w:val="00207C7A"/>
    <w:rsid w:val="00234FA0"/>
    <w:rsid w:val="002C7F85"/>
    <w:rsid w:val="002E4B44"/>
    <w:rsid w:val="004B4F50"/>
    <w:rsid w:val="00504F6D"/>
    <w:rsid w:val="005978D8"/>
    <w:rsid w:val="006572FC"/>
    <w:rsid w:val="007B3386"/>
    <w:rsid w:val="008C1B35"/>
    <w:rsid w:val="00914E49"/>
    <w:rsid w:val="00930352"/>
    <w:rsid w:val="00A869FA"/>
    <w:rsid w:val="00AC0803"/>
    <w:rsid w:val="00B275BC"/>
    <w:rsid w:val="00BB03F3"/>
    <w:rsid w:val="00D43FCF"/>
    <w:rsid w:val="00E02E5A"/>
    <w:rsid w:val="00E6792C"/>
    <w:rsid w:val="00F235ED"/>
    <w:rsid w:val="00FC2C94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1911"/>
  <w15:docId w15:val="{9D433C93-42FB-4098-B35B-54CC553A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35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4</cp:revision>
  <dcterms:created xsi:type="dcterms:W3CDTF">2019-07-08T19:11:00Z</dcterms:created>
  <dcterms:modified xsi:type="dcterms:W3CDTF">2019-07-08T19:18:00Z</dcterms:modified>
</cp:coreProperties>
</file>