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A53AB" w14:textId="77777777" w:rsidR="0053125E" w:rsidRDefault="0053125E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53125E" w14:paraId="5ECA53AD" w14:textId="77777777">
        <w:trPr>
          <w:trHeight w:val="639"/>
        </w:trPr>
        <w:tc>
          <w:tcPr>
            <w:tcW w:w="9010" w:type="dxa"/>
            <w:shd w:val="clear" w:color="auto" w:fill="D5DCE4"/>
            <w:vAlign w:val="center"/>
          </w:tcPr>
          <w:p w14:paraId="5ECA53AC" w14:textId="77777777" w:rsidR="0053125E" w:rsidRDefault="003F4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0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Príloha č. 1 Výzvy: Opis predmetu zákazky</w:t>
            </w:r>
          </w:p>
        </w:tc>
      </w:tr>
    </w:tbl>
    <w:p w14:paraId="5ECA53AE" w14:textId="77777777" w:rsidR="0053125E" w:rsidRDefault="0053125E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ECA53AF" w14:textId="77777777" w:rsidR="0053125E" w:rsidRDefault="003F48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Predmetom zákazky je dodanie softvérových komponentov v špecifikácii, počte a rozsahu uvedenom v tabuľkách nižšie.</w:t>
      </w:r>
    </w:p>
    <w:p w14:paraId="5ECA53B0" w14:textId="77777777" w:rsidR="0053125E" w:rsidRDefault="0053125E">
      <w:pPr>
        <w:jc w:val="both"/>
        <w:rPr>
          <w:rFonts w:ascii="Arial" w:eastAsia="Arial" w:hAnsi="Arial" w:cs="Arial"/>
          <w:sz w:val="22"/>
          <w:szCs w:val="22"/>
        </w:rPr>
      </w:pPr>
    </w:p>
    <w:p w14:paraId="5ECA53B1" w14:textId="77777777" w:rsidR="0053125E" w:rsidRDefault="003F48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Uchádzač sa zaväzuje, že položky, ktoré tvoria predmet zákazky, sú  dodané cez autorizovaný distribučný kanál a sú určené pre použitie v Slovenskej republike.</w:t>
      </w:r>
    </w:p>
    <w:p w14:paraId="5ECA53B2" w14:textId="77777777" w:rsidR="0053125E" w:rsidRDefault="0053125E">
      <w:pPr>
        <w:jc w:val="both"/>
        <w:rPr>
          <w:rFonts w:ascii="Arial" w:eastAsia="Arial" w:hAnsi="Arial" w:cs="Arial"/>
          <w:sz w:val="22"/>
          <w:szCs w:val="22"/>
        </w:rPr>
      </w:pPr>
    </w:p>
    <w:p w14:paraId="5ECA53B3" w14:textId="77777777" w:rsidR="0053125E" w:rsidRPr="00F8025D" w:rsidRDefault="003F484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Uchádzač vyhlasuje, že je autorizovaným obchodným partnerom výrobcu softvérových produktov pre Slovenskú republiku, ktoré </w:t>
      </w:r>
      <w:r w:rsidRPr="00F8025D">
        <w:rPr>
          <w:rFonts w:ascii="Arial" w:eastAsia="Arial" w:hAnsi="Arial" w:cs="Arial"/>
          <w:sz w:val="22"/>
          <w:szCs w:val="22"/>
        </w:rPr>
        <w:t xml:space="preserve">tvoria predmet tohto obstarávania. Uvedené partnerstvo uchádzača musí byť buď dohľadateľné na webovom sídle výrobcu softvérových produktov (resp. vo verejne dostupnej databáze) v čase odovzdania ponuky uchádzačom, alebo takéto partnerstvo doloží uchádzač písomným potvrdením výrobcu softvérových produktov počas predkladania ponuky. </w:t>
      </w:r>
      <w:r w:rsidRPr="00F8025D">
        <w:rPr>
          <w:rFonts w:ascii="Arial" w:eastAsia="Arial" w:hAnsi="Arial" w:cs="Arial"/>
          <w:b/>
          <w:sz w:val="22"/>
          <w:szCs w:val="22"/>
        </w:rPr>
        <w:t>V prípade predloženia ponuky, ktorá obsahuje softvérové komponenty od viacerých výrobcov je uchádzač povinný predložiť certifikát plnej funkčnosti ponúkaného riešenia, alebo ekvivalent, potvrdzujúci vzájomnú  kompatibilitu ponúkaných softvérových komponentov výrobcov.</w:t>
      </w:r>
    </w:p>
    <w:p w14:paraId="5ECA53B4" w14:textId="77777777" w:rsidR="0053125E" w:rsidRPr="00F8025D" w:rsidRDefault="0053125E">
      <w:pPr>
        <w:jc w:val="both"/>
        <w:rPr>
          <w:rFonts w:ascii="Arial" w:eastAsia="Arial" w:hAnsi="Arial" w:cs="Arial"/>
          <w:sz w:val="22"/>
          <w:szCs w:val="22"/>
        </w:rPr>
      </w:pPr>
    </w:p>
    <w:p w14:paraId="5ECA53B5" w14:textId="77777777" w:rsidR="0053125E" w:rsidRDefault="003F4840">
      <w:pPr>
        <w:jc w:val="both"/>
        <w:rPr>
          <w:rFonts w:ascii="Arial" w:eastAsia="Arial" w:hAnsi="Arial" w:cs="Arial"/>
          <w:sz w:val="22"/>
          <w:szCs w:val="22"/>
        </w:rPr>
      </w:pPr>
      <w:r w:rsidRPr="00F8025D">
        <w:rPr>
          <w:rFonts w:ascii="Arial" w:eastAsia="Arial" w:hAnsi="Arial" w:cs="Arial"/>
          <w:sz w:val="22"/>
          <w:szCs w:val="22"/>
        </w:rPr>
        <w:t xml:space="preserve">Uchádzač je povinný doručiť objednávateľovi do 3 dní odo dňa vyzvania </w:t>
      </w:r>
      <w:r>
        <w:rPr>
          <w:rFonts w:ascii="Arial" w:eastAsia="Arial" w:hAnsi="Arial" w:cs="Arial"/>
          <w:sz w:val="22"/>
          <w:szCs w:val="22"/>
        </w:rPr>
        <w:t>obstarávateľom technickú dokumentáciu softvérových produktov od výrobcu (napr. manuál, technická špecifikácia zariadenia a pod.), z ktorej je možné overiť naplnenie technickej a funkčnej špecifikácie predmetu zákazky. Technickú dokumentáciu podľa predchádzajúcej vety môže Uchádzač predložiť v slovenskom, českom alebo anglickom jazyku, bez odkazov na informačné zdroje na internete.</w:t>
      </w:r>
    </w:p>
    <w:p w14:paraId="5ECA53B6" w14:textId="77777777" w:rsidR="0053125E" w:rsidRDefault="0053125E">
      <w:pPr>
        <w:jc w:val="both"/>
        <w:rPr>
          <w:rFonts w:ascii="Arial" w:eastAsia="Arial" w:hAnsi="Arial" w:cs="Arial"/>
          <w:sz w:val="22"/>
          <w:szCs w:val="22"/>
        </w:rPr>
      </w:pPr>
    </w:p>
    <w:p w14:paraId="5ECA53B7" w14:textId="77777777" w:rsidR="0053125E" w:rsidRDefault="003F48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Predmetom ponuky musia byť nové, doposiaľ nepoužité softvérové komponenty a ich podpora musí byť poskytovaná priamo výrobcom softvérových komponentov.</w:t>
      </w:r>
    </w:p>
    <w:p w14:paraId="5ECA53B8" w14:textId="77777777" w:rsidR="0053125E" w:rsidRDefault="003F48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>Softvérové komponenty</w:t>
      </w:r>
    </w:p>
    <w:p w14:paraId="5ECA53B9" w14:textId="77777777" w:rsidR="0053125E" w:rsidRDefault="003F48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Softvér pre prevádzku, hromadnú správu a zabezpečenie distribuovaných prostredí pre poskytovanie PaaS funkcionalít a prevádzkovanie kontajnerovaných aplikácií (Kubernetes Platforma)</w:t>
      </w:r>
    </w:p>
    <w:p w14:paraId="5ECA53BA" w14:textId="77777777" w:rsidR="0053125E" w:rsidRDefault="0053125E"/>
    <w:p w14:paraId="5ECA53BB" w14:textId="77777777" w:rsidR="0053125E" w:rsidRPr="00F8025D" w:rsidRDefault="003F48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Verejný obstarávateľ požaduje dodanie softvérového balíka pre prevádzku, hromadnú správu a zabezpečenie distribuovaných prostredí pre poskytovanie PaaS funkcionalít a prevádzkovanie </w:t>
      </w:r>
      <w:r w:rsidRPr="00F8025D">
        <w:rPr>
          <w:rFonts w:ascii="Arial" w:eastAsia="Arial" w:hAnsi="Arial" w:cs="Arial"/>
          <w:sz w:val="22"/>
          <w:szCs w:val="22"/>
        </w:rPr>
        <w:t xml:space="preserve">kontajnerovaných (Linux i Windows kontajnerov) aplikácií, vrátane dodania služieb podpory od výrobcu pre softvérový produkt. </w:t>
      </w:r>
    </w:p>
    <w:p w14:paraId="5ECA53BC" w14:textId="77777777" w:rsidR="0053125E" w:rsidRPr="00F8025D" w:rsidRDefault="0053125E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ECA53BD" w14:textId="77777777" w:rsidR="0053125E" w:rsidRPr="00F8025D" w:rsidRDefault="003F4840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F8025D">
        <w:rPr>
          <w:rFonts w:ascii="Arial" w:eastAsia="Arial" w:hAnsi="Arial" w:cs="Arial"/>
          <w:b/>
          <w:sz w:val="22"/>
          <w:szCs w:val="22"/>
        </w:rPr>
        <w:t>Požaduje sa kompletný out of box produkt a funkcionalita ako je popísané nižšie s priamou podporou od výrobcu. To znamená že popisovaná funkcionalita nesmie byť dodávaná cez tretie strany vo forme addonov alebo pluginov a podobne.</w:t>
      </w:r>
    </w:p>
    <w:p w14:paraId="5ECA53BE" w14:textId="77777777" w:rsidR="0053125E" w:rsidRDefault="0053125E">
      <w:pPr>
        <w:jc w:val="both"/>
        <w:rPr>
          <w:rFonts w:ascii="Arial" w:eastAsia="Arial" w:hAnsi="Arial" w:cs="Arial"/>
          <w:sz w:val="22"/>
          <w:szCs w:val="22"/>
        </w:rPr>
      </w:pPr>
    </w:p>
    <w:p w14:paraId="5ECA53BF" w14:textId="77777777" w:rsidR="0053125E" w:rsidRPr="00F8025D" w:rsidRDefault="003F484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Verejný obstarávateľ požaduje uviesť cenu za </w:t>
      </w:r>
      <w:r w:rsidRPr="00F8025D">
        <w:rPr>
          <w:rFonts w:ascii="Arial" w:eastAsia="Arial" w:hAnsi="Arial" w:cs="Arial"/>
          <w:sz w:val="22"/>
          <w:szCs w:val="22"/>
        </w:rPr>
        <w:t xml:space="preserve">minimálny pack </w:t>
      </w:r>
      <w:r w:rsidRPr="00F8025D">
        <w:rPr>
          <w:rFonts w:ascii="Arial" w:eastAsia="Arial" w:hAnsi="Arial" w:cs="Arial"/>
          <w:b/>
          <w:sz w:val="22"/>
          <w:szCs w:val="22"/>
        </w:rPr>
        <w:t>(vCPU)</w:t>
      </w:r>
      <w:r w:rsidRPr="00F8025D">
        <w:rPr>
          <w:rFonts w:ascii="Arial" w:eastAsia="Arial" w:hAnsi="Arial" w:cs="Arial"/>
          <w:sz w:val="22"/>
          <w:szCs w:val="22"/>
        </w:rPr>
        <w:t xml:space="preserve"> a cenu pre </w:t>
      </w:r>
      <w:r w:rsidRPr="00F8025D">
        <w:rPr>
          <w:rFonts w:ascii="Arial" w:eastAsia="Arial" w:hAnsi="Arial" w:cs="Arial"/>
          <w:b/>
          <w:sz w:val="22"/>
          <w:szCs w:val="22"/>
        </w:rPr>
        <w:t xml:space="preserve">80 vCPU kontajnerovej platformy </w:t>
      </w:r>
    </w:p>
    <w:p w14:paraId="5ECA53C0" w14:textId="77777777" w:rsidR="0053125E" w:rsidRDefault="0053125E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06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04"/>
        <w:gridCol w:w="6663"/>
      </w:tblGrid>
      <w:tr w:rsidR="0053125E" w14:paraId="5ECA53C3" w14:textId="77777777">
        <w:trPr>
          <w:trHeight w:val="39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CA53C1" w14:textId="77777777" w:rsidR="0053125E" w:rsidRDefault="003F484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Technické vlastnosti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53C2" w14:textId="77777777" w:rsidR="0053125E" w:rsidRDefault="003F484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Minimálne požadované parametre</w:t>
            </w:r>
          </w:p>
        </w:tc>
      </w:tr>
      <w:tr w:rsidR="0053125E" w14:paraId="5ECA53C6" w14:textId="77777777">
        <w:trPr>
          <w:trHeight w:val="477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C4" w14:textId="77777777" w:rsidR="0053125E" w:rsidRDefault="003F484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Požiadavky na dodanie softvérového produktu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C5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Samoobslužná platforma pre vývojárov aplikácií, ktorá umožňuje vytvárať a prevádzkovať aplikácie v Linux a Windows kontajneroch,</w:t>
            </w:r>
          </w:p>
        </w:tc>
      </w:tr>
      <w:tr w:rsidR="0053125E" w14:paraId="5ECA53C9" w14:textId="77777777">
        <w:trPr>
          <w:trHeight w:val="504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C7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C8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Platforma musí umožňovať automatické škálovanie prevádzkovaných aplikácií,</w:t>
            </w:r>
          </w:p>
        </w:tc>
      </w:tr>
      <w:tr w:rsidR="0053125E" w14:paraId="5ECA53CC" w14:textId="77777777">
        <w:trPr>
          <w:trHeight w:val="49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CA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CB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platforma musí mať klastrovú vrstvu služieb pre Linuxové a Windows kontajnery, ktorá zabezpečí ich vysokú dostupnosť a rozloženie záťaže,</w:t>
            </w:r>
          </w:p>
        </w:tc>
      </w:tr>
      <w:tr w:rsidR="0053125E" w14:paraId="5ECA53CF" w14:textId="77777777">
        <w:trPr>
          <w:trHeight w:val="51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CD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CE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umožňovať automatizáciu činností ako je prideľovanie zdrojov, či systémová správa platformy,</w:t>
            </w:r>
          </w:p>
        </w:tc>
      </w:tr>
      <w:tr w:rsidR="0053125E" w14:paraId="5ECA53D2" w14:textId="77777777">
        <w:trPr>
          <w:trHeight w:val="602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D0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D1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umožňovať správu platformy pomocou príkazového riadku, web konzoly a integrovaných vývojárskych prostredí,</w:t>
            </w:r>
          </w:p>
        </w:tc>
      </w:tr>
      <w:tr w:rsidR="0053125E" w14:paraId="5ECA53D5" w14:textId="77777777">
        <w:trPr>
          <w:trHeight w:val="1049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D3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D4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mať integrovaný register kontajnerov so samostatnými repozitármi pre rôzne aplikácie (separácia images per app), musí umožňovať nastavenie vlastných pravidiel (napr. mazanie starších image podľa definovaných pravidiel či “garbage collection”),</w:t>
            </w:r>
          </w:p>
        </w:tc>
      </w:tr>
      <w:tr w:rsidR="0053125E" w14:paraId="5ECA53D8" w14:textId="77777777">
        <w:trPr>
          <w:trHeight w:val="197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D6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D7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mať integrovaný katalóg služieb</w:t>
            </w:r>
          </w:p>
        </w:tc>
      </w:tr>
      <w:tr w:rsidR="0053125E" w14:paraId="5ECA53DB" w14:textId="77777777">
        <w:trPr>
          <w:trHeight w:val="267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D9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DA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Integrovaný marketplace pre rozšírenie platformy o ďalšie funkcionality</w:t>
            </w:r>
          </w:p>
        </w:tc>
      </w:tr>
      <w:tr w:rsidR="0053125E" w14:paraId="5ECA53DE" w14:textId="77777777">
        <w:trPr>
          <w:trHeight w:val="337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DC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DD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umožňovať jednoduchý “debugging” kontajnerových aplikácií bežiacich v klastri.</w:t>
            </w:r>
          </w:p>
        </w:tc>
      </w:tr>
      <w:tr w:rsidR="0053125E" w14:paraId="5ECA53E1" w14:textId="77777777">
        <w:trPr>
          <w:trHeight w:val="65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DF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E0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umožňovať updatovanie softvérového produktu bez výpadku služieb prevádzkovaných v spustených kontajneroch,</w:t>
            </w:r>
          </w:p>
        </w:tc>
      </w:tr>
      <w:tr w:rsidR="0053125E" w14:paraId="5ECA53E4" w14:textId="77777777">
        <w:trPr>
          <w:trHeight w:val="491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E2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E3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umožňovať updatovanie aplikácii  prevádzkovaných v spustených kontajneroch bez výpadku služieb nimi poskytovaných,</w:t>
            </w:r>
          </w:p>
        </w:tc>
      </w:tr>
      <w:tr w:rsidR="0053125E" w14:paraId="5ECA53E7" w14:textId="77777777">
        <w:trPr>
          <w:trHeight w:val="54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E5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E6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poskytovať webové služby (API) pre integráciu s CI/CD nástrojmi ako GitLab,</w:t>
            </w:r>
          </w:p>
        </w:tc>
      </w:tr>
      <w:tr w:rsidR="0053125E" w14:paraId="5ECA53EA" w14:textId="77777777">
        <w:trPr>
          <w:trHeight w:val="30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E8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E9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poskytovať nástroje pre vytváranie a testovanie kontajnerov,</w:t>
            </w:r>
          </w:p>
        </w:tc>
      </w:tr>
      <w:tr w:rsidR="0053125E" w14:paraId="5ECA53ED" w14:textId="77777777">
        <w:trPr>
          <w:trHeight w:val="8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EB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EC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musí poskytovať nástroje pre centralizované nasadzovanie aplikácií, </w:t>
            </w:r>
          </w:p>
        </w:tc>
      </w:tr>
      <w:tr w:rsidR="0053125E" w14:paraId="5ECA53F0" w14:textId="77777777">
        <w:trPr>
          <w:trHeight w:val="422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EE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EF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autentifikácia používateľov softvérového produktu musí umožňovať integráciu s Active Directory,</w:t>
            </w:r>
          </w:p>
        </w:tc>
      </w:tr>
      <w:tr w:rsidR="0053125E" w14:paraId="5ECA53F3" w14:textId="77777777">
        <w:trPr>
          <w:trHeight w:val="40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F1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F2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autentifikácia používateľov softvérového produktu musí podporovať SSO pre integráciu s viacerými identifikačnými autoritami,</w:t>
            </w:r>
          </w:p>
        </w:tc>
      </w:tr>
      <w:tr w:rsidR="0053125E" w14:paraId="5ECA53F6" w14:textId="77777777">
        <w:trPr>
          <w:trHeight w:val="379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F4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F5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poskytovať API pre zálohovanie a obnovu aplikácii (vrátane ich nastavenia) v klasteri vrátane ich perzistentných dát,</w:t>
            </w:r>
          </w:p>
        </w:tc>
      </w:tr>
      <w:tr w:rsidR="0053125E" w14:paraId="5ECA53F9" w14:textId="77777777">
        <w:trPr>
          <w:trHeight w:val="39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F7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F8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umožňovať zálohovanie konfigurácie a obnovu do pôvodného stavu v prípade poruchy,</w:t>
            </w:r>
          </w:p>
        </w:tc>
      </w:tr>
      <w:tr w:rsidR="0053125E" w14:paraId="5ECA53FC" w14:textId="77777777">
        <w:trPr>
          <w:trHeight w:val="1134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FA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FB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mať integrované role a umožňovať prideľovanie rôznych úrovní práv na rôzne časti platformy týmto roliam, musí mať samostatnú rolu umožňujúcu monitorovanie kontajnerov a tiež samostatné role pre nasadzovanie kontajnerov, musí umožňovať prístup len k niektorým repozitárom v registry, s rôznymi právami (čítanie images, zápis images),</w:t>
            </w:r>
          </w:p>
        </w:tc>
      </w:tr>
      <w:tr w:rsidR="0053125E" w14:paraId="5ECA53FF" w14:textId="77777777">
        <w:trPr>
          <w:trHeight w:val="63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3FD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3FE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umožňovať audit a logovanie zmien (najmä zmien v registri images a tiež deploymentov a rollbackov), musí umožňovať vytváranie a prezentáciu reportov v UI,</w:t>
            </w:r>
          </w:p>
        </w:tc>
      </w:tr>
      <w:tr w:rsidR="0053125E" w14:paraId="5ECA5407" w14:textId="77777777" w:rsidTr="003F4840">
        <w:trPr>
          <w:trHeight w:val="55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00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01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mať integrovaný natívny kontajner storage s nasledovnými vlastnosťami:</w:t>
            </w:r>
          </w:p>
          <w:p w14:paraId="5ECA5402" w14:textId="77777777" w:rsidR="0053125E" w:rsidRDefault="003F48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dopĺňa celkové riešenie o vrstvu softvérovo definovaného úložiska dát (storage),</w:t>
            </w:r>
          </w:p>
          <w:p w14:paraId="5ECA5403" w14:textId="77777777" w:rsidR="0053125E" w:rsidRDefault="003F48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poskytuje perzistentné úložisko dát  pre kontajnery,</w:t>
            </w:r>
          </w:p>
          <w:p w14:paraId="5ECA5404" w14:textId="77777777" w:rsidR="0053125E" w:rsidRDefault="003F48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poskytuje automatickú dynamickú škálovateľnosť perzistentného storage pre kontajnery,</w:t>
            </w:r>
          </w:p>
          <w:p w14:paraId="5ECA5405" w14:textId="77777777" w:rsidR="0053125E" w:rsidRDefault="003F48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umožňuje vývojárom aplikácií pridávať, či meniť veľkosť perzistentného storage bez nutnosti zásahu zo strany správcu platformy,</w:t>
            </w:r>
          </w:p>
          <w:p w14:paraId="5ECA5406" w14:textId="77777777" w:rsidR="0053125E" w:rsidRDefault="003F48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poskytuje vysokú dostupnosť storage rovnako ako ostatné súčasti platformy,</w:t>
            </w:r>
          </w:p>
        </w:tc>
      </w:tr>
      <w:tr w:rsidR="00F8025D" w:rsidRPr="00F8025D" w14:paraId="5ECA540A" w14:textId="77777777">
        <w:trPr>
          <w:trHeight w:val="48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08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09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musí mať integrovaný systém pre zber a zobrazovanie systémových a aplikačných logov,</w:t>
            </w:r>
          </w:p>
        </w:tc>
      </w:tr>
      <w:tr w:rsidR="00F8025D" w:rsidRPr="00F8025D" w14:paraId="5ECA540D" w14:textId="77777777">
        <w:trPr>
          <w:trHeight w:val="50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0B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0C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musí mať integrovaný systém pre zber a zobrazovanie systémových a aplikačných metrik,</w:t>
            </w:r>
          </w:p>
        </w:tc>
      </w:tr>
      <w:tr w:rsidR="00F8025D" w:rsidRPr="00F8025D" w14:paraId="5ECA5410" w14:textId="77777777">
        <w:trPr>
          <w:trHeight w:val="34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0E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0F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musí umožňovať spúšťanie alertov na základe administrátorom špecifikovaných pravidiel,</w:t>
            </w:r>
          </w:p>
        </w:tc>
      </w:tr>
      <w:tr w:rsidR="0053125E" w14:paraId="5ECA5413" w14:textId="77777777">
        <w:trPr>
          <w:trHeight w:val="61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11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12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podporovať CPU architektúry x86 a ARM,</w:t>
            </w:r>
          </w:p>
        </w:tc>
      </w:tr>
      <w:tr w:rsidR="0053125E" w14:paraId="5ECA5416" w14:textId="77777777">
        <w:trPr>
          <w:trHeight w:val="477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14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15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byť on-premise riešenie, ktoré bude celé realizované v dátových centrách obstarávateľa.</w:t>
            </w:r>
          </w:p>
        </w:tc>
      </w:tr>
      <w:tr w:rsidR="0053125E" w14:paraId="5ECA5419" w14:textId="77777777">
        <w:trPr>
          <w:trHeight w:val="75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17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18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Musí podporovať automatizovanú inštaláciu do public cloudov ako AWS, Microsoft Azure, Google Cloud Platform, Microsoft Azure Government, bare metal, Red Hat OpenStack Platform, VMware vSphere.</w:t>
            </w:r>
          </w:p>
        </w:tc>
      </w:tr>
      <w:tr w:rsidR="0053125E" w14:paraId="5ECA541C" w14:textId="77777777">
        <w:trPr>
          <w:trHeight w:val="603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1A" w14:textId="77777777" w:rsidR="0053125E" w:rsidRDefault="003F484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Požiadavky na vytváranie, nasadzovanie a beh aplikácií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1B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Softvérový produkt poskytuje užívateľské prostredie určené pre vývojárov, umožňujúce jednoduchým spôsobom sledovať topológiu aplikácie, stav vytvárania a nasadenia aplikácie.</w:t>
            </w:r>
          </w:p>
        </w:tc>
      </w:tr>
      <w:tr w:rsidR="0053125E" w14:paraId="5ECA541F" w14:textId="77777777">
        <w:trPr>
          <w:trHeight w:val="37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1D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1E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Softvérový produkt poskytuje užívateľské prostredie zamerané na správu produktu.</w:t>
            </w:r>
          </w:p>
        </w:tc>
      </w:tr>
      <w:tr w:rsidR="0053125E" w14:paraId="5ECA5422" w14:textId="77777777">
        <w:trPr>
          <w:trHeight w:val="25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20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21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Softvérový produkt poskytuje vývojové prostredie (IDE) v prehliadači.</w:t>
            </w:r>
          </w:p>
        </w:tc>
      </w:tr>
      <w:tr w:rsidR="00F8025D" w:rsidRPr="00F8025D" w14:paraId="5ECA5425" w14:textId="77777777">
        <w:trPr>
          <w:trHeight w:val="44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23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24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Softvérový produkt umožňuje jednoduchý prevádzku prostredia pre chod serverless (FaaS).</w:t>
            </w:r>
          </w:p>
        </w:tc>
      </w:tr>
      <w:tr w:rsidR="00F8025D" w:rsidRPr="00F8025D" w14:paraId="5ECA5428" w14:textId="77777777">
        <w:trPr>
          <w:trHeight w:val="44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26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27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Softvérový produkt umožňuje vytvárať a nasadzovať kontajnery na základe zdrojového kódu aplikácie dostupného zo systému s verziovaním, napríklad git.</w:t>
            </w:r>
          </w:p>
        </w:tc>
      </w:tr>
      <w:tr w:rsidR="00F8025D" w:rsidRPr="00F8025D" w14:paraId="5ECA542B" w14:textId="77777777">
        <w:trPr>
          <w:trHeight w:val="44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29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2A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Poskytuje nástroje pre Monitoring aplikácií a ich custom metriky.</w:t>
            </w:r>
          </w:p>
        </w:tc>
      </w:tr>
      <w:tr w:rsidR="00F8025D" w:rsidRPr="00F8025D" w14:paraId="5ECA542E" w14:textId="77777777">
        <w:trPr>
          <w:trHeight w:val="44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2C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2D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Poskytuje nástroje pre zber a zobrazovanie systémových a aplikačných logov.</w:t>
            </w:r>
          </w:p>
        </w:tc>
      </w:tr>
      <w:tr w:rsidR="0053125E" w14:paraId="5ECA5431" w14:textId="77777777">
        <w:trPr>
          <w:trHeight w:val="267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2F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30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Softvérový produkt umožňuje automatické škálovanie aplikácii.</w:t>
            </w:r>
          </w:p>
        </w:tc>
      </w:tr>
      <w:tr w:rsidR="0053125E" w14:paraId="5ECA5434" w14:textId="77777777">
        <w:trPr>
          <w:trHeight w:val="450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32" w14:textId="77777777" w:rsidR="0053125E" w:rsidRDefault="003F484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Požiadavky na správu platformy (Day 2 operations)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33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Možnosť Inštalácie na Bare Metal servery, Virtuálne servery a do  public cloud prostredí.</w:t>
            </w:r>
          </w:p>
        </w:tc>
      </w:tr>
      <w:tr w:rsidR="0053125E" w14:paraId="5ECA5437" w14:textId="77777777">
        <w:trPr>
          <w:trHeight w:val="26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35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36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Softvérový produkt umožňuje automatické škálovanie prevádzkovaných klastrov.</w:t>
            </w:r>
          </w:p>
        </w:tc>
      </w:tr>
      <w:tr w:rsidR="0053125E" w14:paraId="5ECA543A" w14:textId="77777777">
        <w:trPr>
          <w:trHeight w:val="33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38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39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Upgrade Softvérového produktu je plne automatizovaný.</w:t>
            </w:r>
          </w:p>
        </w:tc>
      </w:tr>
      <w:tr w:rsidR="0053125E" w14:paraId="5ECA543D" w14:textId="77777777">
        <w:trPr>
          <w:trHeight w:val="582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3B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A543C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Softvérový produkt je nezávislý na jedinom dodávateľovi HW/SW pre úložisko a sieťové prvky.</w:t>
            </w:r>
          </w:p>
        </w:tc>
      </w:tr>
      <w:tr w:rsidR="0053125E" w14:paraId="5ECA5440" w14:textId="77777777">
        <w:trPr>
          <w:trHeight w:val="211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3E" w14:textId="77777777" w:rsidR="0053125E" w:rsidRDefault="003F484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Požiadavky na Multiklaster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3F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Centralizovaná správa plne automatizovaného vytvárania nových klastrov.</w:t>
            </w:r>
          </w:p>
        </w:tc>
      </w:tr>
      <w:tr w:rsidR="0053125E" w14:paraId="5ECA5443" w14:textId="77777777">
        <w:trPr>
          <w:trHeight w:val="309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41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42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Centralizovaná správa upgrade spravovaných klastrov.</w:t>
            </w:r>
          </w:p>
        </w:tc>
      </w:tr>
      <w:tr w:rsidR="0053125E" w14:paraId="5ECA5446" w14:textId="77777777">
        <w:trPr>
          <w:trHeight w:val="477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44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45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Centralizované kontinuálne nasadzovanie do skupiny klastrov pre dané prostredie (napr. test, preprod, či prod), ktoré je vizualizované v UI.</w:t>
            </w:r>
          </w:p>
        </w:tc>
      </w:tr>
      <w:tr w:rsidR="0053125E" w14:paraId="5ECA5449" w14:textId="77777777">
        <w:trPr>
          <w:trHeight w:val="22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47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48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Centralizovaná správa nastavenie bezpečnostných politik.</w:t>
            </w:r>
          </w:p>
        </w:tc>
      </w:tr>
      <w:tr w:rsidR="0053125E" w14:paraId="5ECA544C" w14:textId="77777777">
        <w:trPr>
          <w:trHeight w:val="18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4A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4B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Centralizovaný monitoring spravovaných klastrov.</w:t>
            </w:r>
          </w:p>
        </w:tc>
      </w:tr>
      <w:tr w:rsidR="0053125E" w14:paraId="5ECA544F" w14:textId="77777777">
        <w:trPr>
          <w:trHeight w:val="239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4D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4E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Centralizovaný monitoring dashboard .</w:t>
            </w:r>
          </w:p>
        </w:tc>
      </w:tr>
      <w:tr w:rsidR="0053125E" w14:paraId="5ECA5452" w14:textId="77777777">
        <w:trPr>
          <w:trHeight w:val="25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50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51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Centralizovaná správa nastavenie bezpečnostných politik.</w:t>
            </w:r>
          </w:p>
        </w:tc>
      </w:tr>
      <w:tr w:rsidR="0053125E" w14:paraId="5ECA5455" w14:textId="77777777">
        <w:trPr>
          <w:trHeight w:val="224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53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54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Centralizovaný monitoring spravovaných klastrov.</w:t>
            </w:r>
          </w:p>
        </w:tc>
      </w:tr>
      <w:tr w:rsidR="0053125E" w14:paraId="5ECA5458" w14:textId="77777777">
        <w:trPr>
          <w:trHeight w:val="44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56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57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Dynamické vyhľadávanie pre zobrazovanie a investigáciu aplikácií naprieč spravovanými klastrami.</w:t>
            </w:r>
          </w:p>
        </w:tc>
      </w:tr>
      <w:tr w:rsidR="0053125E" w14:paraId="5ECA545B" w14:textId="77777777">
        <w:trPr>
          <w:trHeight w:val="407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59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5A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Automatizovaná analytika softvérového produktu, ktorá proaktívne kontroluje stav klastrov a navrhuje opravné kroky.</w:t>
            </w:r>
          </w:p>
        </w:tc>
      </w:tr>
      <w:tr w:rsidR="0053125E" w14:paraId="5ECA545E" w14:textId="77777777">
        <w:trPr>
          <w:trHeight w:val="46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5C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5D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Centralizované nastavenie internej sieťovej komunikácie medzi klastrami na rôznych platformách. </w:t>
            </w:r>
          </w:p>
        </w:tc>
      </w:tr>
      <w:tr w:rsidR="0053125E" w14:paraId="5ECA5461" w14:textId="77777777">
        <w:trPr>
          <w:trHeight w:val="46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5F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60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Centralizovaná správa obsahuje politiky pre nastavenie bezpečnosti, odolnosti, a konfiguračnej správy.</w:t>
            </w:r>
          </w:p>
        </w:tc>
      </w:tr>
      <w:tr w:rsidR="0053125E" w14:paraId="5ECA5464" w14:textId="77777777">
        <w:trPr>
          <w:trHeight w:val="253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62" w14:textId="77777777" w:rsidR="0053125E" w:rsidRDefault="003F484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Požiadavky na bezpečnosť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63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Platforma zobrazuje zraniteľnosti v aktuálne bežiacich kontajneroch.</w:t>
            </w:r>
          </w:p>
        </w:tc>
      </w:tr>
      <w:tr w:rsidR="0053125E" w14:paraId="5ECA5467" w14:textId="77777777">
        <w:trPr>
          <w:trHeight w:val="491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65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66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Governance a risk dashboard, ktorá zobrazuje bezpečnostné riziká a porušenia predpísaných bezpečnostných politik.</w:t>
            </w:r>
          </w:p>
        </w:tc>
      </w:tr>
      <w:tr w:rsidR="0053125E" w14:paraId="5ECA546A" w14:textId="77777777">
        <w:trPr>
          <w:trHeight w:val="281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68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69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Hromadná správa bezpečnostných politik skupiny klastrov.</w:t>
            </w:r>
          </w:p>
        </w:tc>
      </w:tr>
      <w:tr w:rsidR="0053125E" w14:paraId="5ECA546D" w14:textId="77777777">
        <w:trPr>
          <w:trHeight w:val="25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6B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6C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Integrácia s Open Policy Agent (OPA) pre rozšírenie bezpečnostných a iných politík.</w:t>
            </w:r>
          </w:p>
        </w:tc>
      </w:tr>
      <w:tr w:rsidR="00F8025D" w:rsidRPr="00F8025D" w14:paraId="5ECA5470" w14:textId="77777777">
        <w:trPr>
          <w:trHeight w:val="519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6E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6F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Poskytuje pohľad na aplikácie, ich kontajnerové image a nastavenia z hľadiska bezpečnosti.</w:t>
            </w:r>
          </w:p>
        </w:tc>
      </w:tr>
      <w:tr w:rsidR="00F8025D" w:rsidRPr="00F8025D" w14:paraId="5ECA5473" w14:textId="77777777">
        <w:trPr>
          <w:trHeight w:val="2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71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72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 xml:space="preserve">Zobrazuje sieťovú komunikáciu medzi viacerými prostrediami v klastri. </w:t>
            </w:r>
          </w:p>
        </w:tc>
      </w:tr>
      <w:tr w:rsidR="00F8025D" w:rsidRPr="00F8025D" w14:paraId="5ECA5476" w14:textId="77777777">
        <w:trPr>
          <w:trHeight w:val="2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74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75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Navrhuje pravidlá pre zabezpečenie sieťovej komunikácie v klastri.</w:t>
            </w:r>
          </w:p>
        </w:tc>
      </w:tr>
      <w:tr w:rsidR="00F8025D" w:rsidRPr="00F8025D" w14:paraId="5ECA5479" w14:textId="77777777">
        <w:trPr>
          <w:trHeight w:val="212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77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78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Bezpečnostný systém je schopný detekovať anomálne chovanie aplikácií ako napríklad malware, tažba kryptomien, alebo pokus o neautorizovaný prístup k citlivým údajom.</w:t>
            </w:r>
          </w:p>
        </w:tc>
      </w:tr>
      <w:tr w:rsidR="00F8025D" w:rsidRPr="00F8025D" w14:paraId="5ECA547C" w14:textId="77777777">
        <w:trPr>
          <w:trHeight w:val="212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7A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7B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Systém, ktorý monitoruje kontajnerovú platformu z hľadiska bezpečnosti, je integrovateľný so SIEM systémami.</w:t>
            </w:r>
          </w:p>
        </w:tc>
      </w:tr>
      <w:tr w:rsidR="00F8025D" w:rsidRPr="00F8025D" w14:paraId="5ECA547F" w14:textId="77777777">
        <w:trPr>
          <w:trHeight w:val="491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7D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7E" w14:textId="77777777" w:rsidR="0053125E" w:rsidRPr="00F8025D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sz w:val="22"/>
                <w:szCs w:val="22"/>
              </w:rPr>
              <w:t>Obsahuje politiky pre kontrolu pri vytváraní a nasadzovaní kontajnerových image z hľadiska známych zraniteľností.</w:t>
            </w:r>
          </w:p>
        </w:tc>
      </w:tr>
      <w:tr w:rsidR="0053125E" w14:paraId="5ECA5482" w14:textId="77777777">
        <w:trPr>
          <w:trHeight w:val="19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80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81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Obsahuje prehľadný dashboard stavu compliance klastrov pre potreby auditu.</w:t>
            </w:r>
          </w:p>
        </w:tc>
      </w:tr>
      <w:tr w:rsidR="0053125E" w14:paraId="5ECA5485" w14:textId="77777777">
        <w:trPr>
          <w:trHeight w:val="43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83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84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Vizualizuje povolenú a zakázanú sieťovú komunikáciu a doporučuje úpravu sieťovej komunikácie pre odobratie nadbytočných sieťových oprávnení.</w:t>
            </w:r>
          </w:p>
        </w:tc>
      </w:tr>
      <w:tr w:rsidR="0053125E" w14:paraId="5ECA5488" w14:textId="77777777">
        <w:trPr>
          <w:trHeight w:val="33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86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87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Analýza oprávnení prístupu k citlivým informáciám.</w:t>
            </w:r>
          </w:p>
        </w:tc>
      </w:tr>
      <w:tr w:rsidR="0053125E" w14:paraId="5ECA548B" w14:textId="77777777">
        <w:trPr>
          <w:trHeight w:val="714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89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8A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Bezpečnostný softvér poskytuje API pre integráciu s externými DevOps systémami, zahrňujúcimi CI/CD nástroje, skenovanie image a SIEM (security integration event management) riešeniami.</w:t>
            </w:r>
          </w:p>
        </w:tc>
      </w:tr>
      <w:tr w:rsidR="0053125E" w14:paraId="5ECA548E" w14:textId="77777777">
        <w:trPr>
          <w:trHeight w:val="25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8C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8D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Ponúka kontajnerovú base image, čím zaručuje podporu a updaty.</w:t>
            </w:r>
          </w:p>
        </w:tc>
      </w:tr>
      <w:tr w:rsidR="0053125E" w14:paraId="5ECA5491" w14:textId="77777777">
        <w:trPr>
          <w:trHeight w:val="239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8F" w14:textId="77777777" w:rsidR="0053125E" w:rsidRDefault="003F484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Požiadavky na dodanie podpory výrobcu pre softvérový produkt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90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Podpora priamo od výrobcu dodávaného softvérového produktu,</w:t>
            </w:r>
          </w:p>
        </w:tc>
      </w:tr>
      <w:tr w:rsidR="0053125E" w14:paraId="5ECA5494" w14:textId="77777777">
        <w:trPr>
          <w:trHeight w:val="22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92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93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dĺžka podpory 3 roky od prevzatia.</w:t>
            </w:r>
          </w:p>
        </w:tc>
      </w:tr>
      <w:tr w:rsidR="0053125E" w14:paraId="5ECA5497" w14:textId="77777777">
        <w:trPr>
          <w:trHeight w:val="30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95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96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nárok na aktuálne verzie softvérového produktu, prístupné  prostredníctvom portálu výrobcu,</w:t>
            </w:r>
          </w:p>
        </w:tc>
      </w:tr>
      <w:tr w:rsidR="0053125E" w14:paraId="5ECA549A" w14:textId="77777777">
        <w:trPr>
          <w:trHeight w:val="239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98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99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prístup k opravným balíkom,</w:t>
            </w:r>
          </w:p>
        </w:tc>
      </w:tr>
      <w:tr w:rsidR="0053125E" w14:paraId="5ECA549D" w14:textId="77777777">
        <w:trPr>
          <w:trHeight w:val="449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9B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9C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podpora poskytovaná v rozsahu 8 hodín denne v rozmedzí 9:00 – 17:00 SEČ, v pracovných dňoch,</w:t>
            </w:r>
          </w:p>
        </w:tc>
      </w:tr>
      <w:tr w:rsidR="0053125E" w14:paraId="5ECA54A0" w14:textId="77777777">
        <w:trPr>
          <w:trHeight w:val="43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9E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9F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podpora poskytovaná telefonicky, formou emailu, alebo cez ticketovací portál výrobcu.</w:t>
            </w:r>
          </w:p>
        </w:tc>
      </w:tr>
      <w:tr w:rsidR="0053125E" w14:paraId="5ECA54A3" w14:textId="77777777">
        <w:trPr>
          <w:trHeight w:val="239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A1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A2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prístup k dokumentácii prostredníctvom webového portálu výrobcu,</w:t>
            </w:r>
          </w:p>
        </w:tc>
      </w:tr>
      <w:tr w:rsidR="0053125E" w14:paraId="5ECA54A6" w14:textId="77777777">
        <w:trPr>
          <w:trHeight w:val="254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A4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A5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prioritizácia riešenia nahlásených prípadov podpory podľa ich dopadu na celkovú funkčnosť softvérového produktu,</w:t>
            </w:r>
          </w:p>
        </w:tc>
      </w:tr>
      <w:tr w:rsidR="0053125E" w14:paraId="5ECA54B5" w14:textId="77777777">
        <w:trPr>
          <w:trHeight w:val="481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A7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A8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doba odozvy pre príslušnú úroveň závažnosti musí byť garantovaná v nasledujúcom rozsahu:</w:t>
            </w:r>
          </w:p>
          <w:p w14:paraId="5ECA54A9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ECA54AA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Závažnosť 1. úrovne – kritická</w:t>
            </w:r>
          </w:p>
          <w:p w14:paraId="5ECA54AB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Produkt nie je použiteľný, čo vedie k celkovému narušeniu práce, alebo k inému závažnému dopadu na prevádzku. Reakčná doba: 1 hodina,</w:t>
            </w:r>
          </w:p>
          <w:p w14:paraId="5ECA54AC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ECA54AD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Závažnosť 2. úrovne – vysoká</w:t>
            </w:r>
          </w:p>
          <w:p w14:paraId="5ECA54AE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Zlyhanie veľmi dôležitej čiastkovej funkčnosti produktu. Prevádzka je vážne obmedzená. Reakčná doba: 4 hodiny,</w:t>
            </w:r>
          </w:p>
          <w:p w14:paraId="5ECA54AF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ECA54B0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Závažnosť 3. úrovne – nízka</w:t>
            </w:r>
          </w:p>
          <w:p w14:paraId="5ECA54B1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Zlyhanie menej dôležitej čiastkovej funkčnosti produktu. Produkt nefunguje podľa špecifikácií stanovených výrobcom. Prevádzka je obmedzená len čiastočne. Reakčná doba: 1 pracovný deň,</w:t>
            </w:r>
          </w:p>
          <w:p w14:paraId="5ECA54B2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ECA54B3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Závažnosť 4. úrovne – iná</w:t>
            </w:r>
          </w:p>
          <w:p w14:paraId="5ECA54B4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Nezávažný problém. Môže to byť napr. žiadosť o dokumentáciu, všeobecnú informáciu, žiadosť o vylepšenie a pod. Reakčná doba: 2 pracovné dni.</w:t>
            </w:r>
          </w:p>
        </w:tc>
      </w:tr>
    </w:tbl>
    <w:p w14:paraId="5ECA54BC" w14:textId="16969572" w:rsidR="0053125E" w:rsidRDefault="0053125E">
      <w:bookmarkStart w:id="1" w:name="_heading=h.30j0zll" w:colFirst="0" w:colLast="0"/>
      <w:bookmarkStart w:id="2" w:name="_heading=h.ya9uwi3nnuv2" w:colFirst="0" w:colLast="0"/>
      <w:bookmarkEnd w:id="1"/>
      <w:bookmarkEnd w:id="2"/>
    </w:p>
    <w:p w14:paraId="5ECA54BE" w14:textId="78153809" w:rsidR="0053125E" w:rsidRPr="003F4840" w:rsidRDefault="003F4840" w:rsidP="003F48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libri" w:eastAsia="Calibri" w:hAnsi="Calibri" w:cs="Calibri"/>
          <w:color w:val="2F5496"/>
          <w:sz w:val="26"/>
          <w:szCs w:val="26"/>
        </w:rPr>
      </w:pPr>
      <w:bookmarkStart w:id="3" w:name="_heading=h.kumtjhuwl6u" w:colFirst="0" w:colLast="0"/>
      <w:bookmarkEnd w:id="3"/>
      <w:r>
        <w:rPr>
          <w:rFonts w:ascii="Calibri" w:eastAsia="Calibri" w:hAnsi="Calibri" w:cs="Calibri"/>
          <w:color w:val="2F5496"/>
          <w:sz w:val="26"/>
          <w:szCs w:val="26"/>
        </w:rPr>
        <w:t>Softvér pre automatizáciu IaaS</w:t>
      </w:r>
    </w:p>
    <w:p w14:paraId="5ECA54BF" w14:textId="77777777" w:rsidR="0053125E" w:rsidRDefault="003F48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Verejný obstarávateľ požaduje dodanie softvérového balíka pre prevádzku, správu a zabezpečenie ne-kontajnerovanej infraštruktúry pre poskytovanie IaaS funkcionalít, vrátane dodania služieb podpory od výrobcu pre softvérový produkt.</w:t>
      </w:r>
    </w:p>
    <w:p w14:paraId="5ECA54C0" w14:textId="5EDD30F0" w:rsidR="0053125E" w:rsidRDefault="003F48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Verejný obstarávateľ požaduje uviesť cenu za minimálny pack a cenu pre </w:t>
      </w:r>
      <w:r w:rsidR="00625930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00 VM</w:t>
      </w:r>
    </w:p>
    <w:p w14:paraId="5ECA54C1" w14:textId="77777777" w:rsidR="0053125E" w:rsidRDefault="0053125E"/>
    <w:tbl>
      <w:tblPr>
        <w:tblStyle w:val="a5"/>
        <w:tblW w:w="907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08"/>
        <w:gridCol w:w="6670"/>
      </w:tblGrid>
      <w:tr w:rsidR="0053125E" w14:paraId="5ECA54C4" w14:textId="77777777">
        <w:trPr>
          <w:trHeight w:val="943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C2" w14:textId="77777777" w:rsidR="0053125E" w:rsidRDefault="003F484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Požiadavky na dodanie softvérového produktu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C3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Možnosť spúšťať automatizačné úkony a skripty, ktoré nastavujú nekontajnerizovanú infraštruktúru mimo softvérový produkt, ako sú napríklad sieťové prvky, úložisko, DNS, či Load Balancery.</w:t>
            </w:r>
          </w:p>
        </w:tc>
      </w:tr>
      <w:tr w:rsidR="0053125E" w14:paraId="5ECA54C7" w14:textId="77777777">
        <w:trPr>
          <w:trHeight w:val="2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C5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C6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Možnosť použitia aj pri nasadzovaní a upgrade aplikácií alebo na nápravu klastrov ktoré niesú compliant.</w:t>
            </w:r>
          </w:p>
        </w:tc>
      </w:tr>
      <w:tr w:rsidR="0053125E" w14:paraId="5ECA54CA" w14:textId="77777777">
        <w:trPr>
          <w:trHeight w:val="2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C8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C9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Možnosť nasadenia a spúšťania z kontajnerovej platformy</w:t>
            </w:r>
          </w:p>
        </w:tc>
      </w:tr>
      <w:tr w:rsidR="0053125E" w14:paraId="5ECA54CD" w14:textId="77777777">
        <w:trPr>
          <w:trHeight w:val="252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CB" w14:textId="77777777" w:rsidR="0053125E" w:rsidRDefault="003F484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Požiadavky na dodanie podpory výrobcu pre softvérový produkt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CC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Podpora priamo od výrobcu dodávaného softvérového produktu,</w:t>
            </w:r>
          </w:p>
        </w:tc>
      </w:tr>
      <w:tr w:rsidR="0053125E" w14:paraId="5ECA54D0" w14:textId="77777777">
        <w:trPr>
          <w:trHeight w:val="2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CE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CF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dĺžka podpory 3 roky od prevzatia.</w:t>
            </w:r>
          </w:p>
        </w:tc>
      </w:tr>
      <w:tr w:rsidR="0053125E" w14:paraId="5ECA54D3" w14:textId="77777777">
        <w:trPr>
          <w:trHeight w:val="2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D1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D2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nárok na aktuálne verzie softvérového produktu, prístupné  prostredníctvom portálu výrobcu,</w:t>
            </w:r>
          </w:p>
        </w:tc>
      </w:tr>
      <w:tr w:rsidR="0053125E" w14:paraId="5ECA54D6" w14:textId="77777777">
        <w:trPr>
          <w:trHeight w:val="2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D4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D5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prístup k opravným balíkom,</w:t>
            </w:r>
          </w:p>
        </w:tc>
      </w:tr>
      <w:tr w:rsidR="0053125E" w14:paraId="5ECA54D9" w14:textId="77777777">
        <w:trPr>
          <w:trHeight w:val="2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D7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D8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podpora poskytovaná v rozsahu 8 hodín denne v rozmedzí 9:00 – 17:00 SEČ, v pracovných dňoch,</w:t>
            </w:r>
          </w:p>
        </w:tc>
      </w:tr>
      <w:tr w:rsidR="0053125E" w14:paraId="5ECA54DC" w14:textId="77777777">
        <w:trPr>
          <w:trHeight w:val="2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DA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DB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podpora poskytovaná telefonicky, formou emailu, alebo cez tiketovací portál výrobcu.</w:t>
            </w:r>
          </w:p>
        </w:tc>
      </w:tr>
      <w:tr w:rsidR="0053125E" w14:paraId="5ECA54DF" w14:textId="77777777">
        <w:trPr>
          <w:trHeight w:val="2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DD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DE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prístup k dokumentácii prostredníctvom webového portálu výrobcu,</w:t>
            </w:r>
          </w:p>
        </w:tc>
      </w:tr>
      <w:tr w:rsidR="0053125E" w14:paraId="5ECA54E2" w14:textId="77777777">
        <w:trPr>
          <w:trHeight w:val="2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E0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E1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prioritizácia riešenia nahlásených prípadov podpory podľa ich dopadu na celkovú funkčnosť softvérového produktu,</w:t>
            </w:r>
          </w:p>
        </w:tc>
      </w:tr>
      <w:tr w:rsidR="0053125E" w14:paraId="5ECA54F1" w14:textId="77777777">
        <w:trPr>
          <w:trHeight w:val="252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4E3" w14:textId="77777777" w:rsidR="0053125E" w:rsidRDefault="0053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4E4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doba odozvy pre príslušnú úroveň závažnosti musí byť garantovaná v nasledujúcom rozsahu:</w:t>
            </w:r>
          </w:p>
          <w:p w14:paraId="5ECA54E5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ECA54E6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Závažnosť 1. úrovne – kritická</w:t>
            </w:r>
          </w:p>
          <w:p w14:paraId="5ECA54E7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Produkt nie je použiteľný, čo vedie k celkovému narušeniu práce, alebo k inému závažnému dopadu na prevádzku. Reakčná doba: 1 hodina,</w:t>
            </w:r>
          </w:p>
          <w:p w14:paraId="5ECA54E8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ECA54E9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Závažnosť 2. úrovne – vysoká</w:t>
            </w:r>
          </w:p>
          <w:p w14:paraId="5ECA54EA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Zlyhanie veľmi dôležitej čiastkovej funkčnosti produktu. Prevádzka je vážne obmedzená. Reakčná doba: 4 hodiny,</w:t>
            </w:r>
          </w:p>
          <w:p w14:paraId="5ECA54EB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ECA54EC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Závažnosť 3. úrovne – nízka</w:t>
            </w:r>
          </w:p>
          <w:p w14:paraId="5ECA54ED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Zlyhanie menej dôležitej čiastkovej funkčnosti produktu. Produkt nefunguje podľa špecifikácií stanovených výrobcom. Prevádzka je obmedzená len čiastočne. Reakčná doba: 1 pracovný deň,</w:t>
            </w:r>
          </w:p>
          <w:p w14:paraId="5ECA54EE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ECA54EF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Závažnosť 4. úrovne – iná</w:t>
            </w:r>
          </w:p>
          <w:p w14:paraId="5ECA54F0" w14:textId="77777777" w:rsidR="0053125E" w:rsidRDefault="003F484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Nezávažný problém. Môže to byť napr. žiadosť o dokumentáciu, všeobecnú informáciu, žiadosť o vylepšenie a pod. Reakčná doba: 2 pracovné dni.</w:t>
            </w:r>
          </w:p>
        </w:tc>
      </w:tr>
    </w:tbl>
    <w:p w14:paraId="5ECA54F3" w14:textId="7298EB3D" w:rsidR="0053125E" w:rsidRDefault="0053125E" w:rsidP="003F4840">
      <w:pPr>
        <w:rPr>
          <w:rFonts w:eastAsia="Calibri"/>
        </w:rPr>
      </w:pPr>
    </w:p>
    <w:p w14:paraId="5ECA54F4" w14:textId="77777777" w:rsidR="0053125E" w:rsidRDefault="003F48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Software pre virtualizáciu</w:t>
      </w:r>
    </w:p>
    <w:p w14:paraId="5ECA54F5" w14:textId="77777777" w:rsidR="0053125E" w:rsidRDefault="0053125E"/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6521"/>
      </w:tblGrid>
      <w:tr w:rsidR="0053125E" w14:paraId="5ECA54F8" w14:textId="77777777" w:rsidTr="003F4840">
        <w:trPr>
          <w:trHeight w:val="284"/>
        </w:trPr>
        <w:tc>
          <w:tcPr>
            <w:tcW w:w="2546" w:type="dxa"/>
            <w:shd w:val="clear" w:color="auto" w:fill="BFBFBF"/>
            <w:vAlign w:val="center"/>
          </w:tcPr>
          <w:p w14:paraId="5ECA54F6" w14:textId="77777777" w:rsidR="0053125E" w:rsidRDefault="003F484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Technické vlastnosti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5ECA54F7" w14:textId="77777777" w:rsidR="0053125E" w:rsidRDefault="003F484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hodnota</w:t>
            </w:r>
          </w:p>
        </w:tc>
      </w:tr>
      <w:tr w:rsidR="0053125E" w14:paraId="5ECA54FB" w14:textId="77777777" w:rsidTr="003F4840">
        <w:trPr>
          <w:trHeight w:val="284"/>
        </w:trPr>
        <w:tc>
          <w:tcPr>
            <w:tcW w:w="2546" w:type="dxa"/>
          </w:tcPr>
          <w:p w14:paraId="5ECA54F9" w14:textId="77777777" w:rsidR="0053125E" w:rsidRDefault="003F484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vSphere Ent Plus</w:t>
            </w:r>
          </w:p>
        </w:tc>
        <w:tc>
          <w:tcPr>
            <w:tcW w:w="6521" w:type="dxa"/>
          </w:tcPr>
          <w:p w14:paraId="5ECA54FA" w14:textId="7C9E22C2" w:rsidR="0053125E" w:rsidRDefault="00FD76EA" w:rsidP="00625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Licencie na </w:t>
            </w:r>
            <w:r w:rsidR="00625930" w:rsidRPr="00F8025D">
              <w:rPr>
                <w:rFonts w:ascii="Arial" w:eastAsia="Arial" w:hAnsi="Arial" w:cs="Arial"/>
                <w:b/>
                <w:sz w:val="22"/>
                <w:szCs w:val="22"/>
              </w:rPr>
              <w:t>60</w:t>
            </w:r>
            <w:r w:rsidR="0062593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C07B9">
              <w:rPr>
                <w:rFonts w:ascii="Arial" w:eastAsia="Arial" w:hAnsi="Arial" w:cs="Arial"/>
                <w:sz w:val="22"/>
                <w:szCs w:val="22"/>
              </w:rPr>
              <w:t xml:space="preserve">ks </w:t>
            </w:r>
            <w:r w:rsidR="003F4840">
              <w:rPr>
                <w:rFonts w:ascii="Arial" w:eastAsia="Arial" w:hAnsi="Arial" w:cs="Arial"/>
                <w:sz w:val="22"/>
                <w:szCs w:val="22"/>
              </w:rPr>
              <w:t>CPU</w:t>
            </w:r>
            <w:r w:rsidR="00AC07B9">
              <w:rPr>
                <w:rFonts w:ascii="Arial" w:eastAsia="Arial" w:hAnsi="Arial" w:cs="Arial"/>
                <w:sz w:val="22"/>
                <w:szCs w:val="22"/>
              </w:rPr>
              <w:t>, vrátane podpory na 3Y</w:t>
            </w:r>
          </w:p>
        </w:tc>
      </w:tr>
      <w:tr w:rsidR="0053125E" w14:paraId="5ECA54FE" w14:textId="77777777" w:rsidTr="003F4840">
        <w:trPr>
          <w:trHeight w:val="170"/>
        </w:trPr>
        <w:tc>
          <w:tcPr>
            <w:tcW w:w="2546" w:type="dxa"/>
          </w:tcPr>
          <w:p w14:paraId="5ECA54FC" w14:textId="77777777" w:rsidR="0053125E" w:rsidRDefault="003F484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vCenter Server Std</w:t>
            </w:r>
          </w:p>
        </w:tc>
        <w:tc>
          <w:tcPr>
            <w:tcW w:w="6521" w:type="dxa"/>
          </w:tcPr>
          <w:p w14:paraId="5ECA54FD" w14:textId="317C69EA" w:rsidR="0053125E" w:rsidRDefault="00AC07B9" w:rsidP="00AC07B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8025D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F8025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  <w:r w:rsidR="003F4840">
              <w:rPr>
                <w:rFonts w:ascii="Arial" w:eastAsia="Arial" w:hAnsi="Arial" w:cs="Arial"/>
                <w:sz w:val="22"/>
                <w:szCs w:val="22"/>
              </w:rPr>
              <w:t xml:space="preserve"> licencia</w:t>
            </w:r>
            <w:r>
              <w:rPr>
                <w:rFonts w:ascii="Arial" w:eastAsia="Arial" w:hAnsi="Arial" w:cs="Arial"/>
                <w:sz w:val="22"/>
                <w:szCs w:val="22"/>
              </w:rPr>
              <w:t>, vrátane podpory na 3Y</w:t>
            </w:r>
          </w:p>
        </w:tc>
      </w:tr>
    </w:tbl>
    <w:p w14:paraId="0466B609" w14:textId="04B059C2" w:rsidR="00FD76EA" w:rsidRDefault="00FD76EA">
      <w:pPr>
        <w:jc w:val="both"/>
        <w:rPr>
          <w:rFonts w:ascii="Arial" w:eastAsia="Arial" w:hAnsi="Arial" w:cs="Arial"/>
          <w:sz w:val="22"/>
          <w:szCs w:val="22"/>
        </w:rPr>
      </w:pPr>
    </w:p>
    <w:p w14:paraId="164E7EAD" w14:textId="2E7B7C00" w:rsidR="00FD76EA" w:rsidRDefault="00FD76EA" w:rsidP="00FD76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Software Microsoft</w:t>
      </w:r>
    </w:p>
    <w:p w14:paraId="5B7EC731" w14:textId="73AFA445" w:rsidR="00FD76EA" w:rsidRDefault="00FD76EA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6521"/>
      </w:tblGrid>
      <w:tr w:rsidR="00FD76EA" w14:paraId="3555F358" w14:textId="77777777" w:rsidTr="003F4840">
        <w:trPr>
          <w:trHeight w:val="284"/>
        </w:trPr>
        <w:tc>
          <w:tcPr>
            <w:tcW w:w="2546" w:type="dxa"/>
            <w:shd w:val="clear" w:color="auto" w:fill="BFBFBF"/>
            <w:vAlign w:val="center"/>
          </w:tcPr>
          <w:p w14:paraId="66A5E182" w14:textId="77777777" w:rsidR="00FD76EA" w:rsidRDefault="00FD76EA" w:rsidP="00373B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Technické vlastnosti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04C9307E" w14:textId="77777777" w:rsidR="00FD76EA" w:rsidRDefault="00FD76EA" w:rsidP="00373B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hodnota</w:t>
            </w:r>
          </w:p>
        </w:tc>
      </w:tr>
      <w:tr w:rsidR="00A5408B" w:rsidRPr="00A5408B" w14:paraId="54767563" w14:textId="77777777" w:rsidTr="003F4840">
        <w:trPr>
          <w:trHeight w:val="284"/>
        </w:trPr>
        <w:tc>
          <w:tcPr>
            <w:tcW w:w="2546" w:type="dxa"/>
          </w:tcPr>
          <w:p w14:paraId="3D6538D5" w14:textId="25B4E4A5" w:rsidR="00FD76EA" w:rsidRPr="00A5408B" w:rsidRDefault="00AC07B9" w:rsidP="00373BC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5408B">
              <w:rPr>
                <w:rFonts w:ascii="Arial" w:eastAsia="Arial" w:hAnsi="Arial" w:cs="Arial"/>
                <w:sz w:val="22"/>
                <w:szCs w:val="22"/>
              </w:rPr>
              <w:t>Windows Server 2022 Edition – Datacenter (16 Core)</w:t>
            </w:r>
          </w:p>
        </w:tc>
        <w:tc>
          <w:tcPr>
            <w:tcW w:w="6521" w:type="dxa"/>
          </w:tcPr>
          <w:p w14:paraId="6F421041" w14:textId="6C29FFFD" w:rsidR="00FD76EA" w:rsidRPr="00A5408B" w:rsidRDefault="00AC07B9" w:rsidP="006259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5408B">
              <w:rPr>
                <w:rFonts w:ascii="Arial" w:eastAsia="Arial" w:hAnsi="Arial" w:cs="Arial"/>
                <w:sz w:val="22"/>
                <w:szCs w:val="22"/>
              </w:rPr>
              <w:t xml:space="preserve">Highly virtualized datacenters and cloud environments - Licensing model for 16 core licenses. – </w:t>
            </w:r>
            <w:r w:rsidR="00FD76EA" w:rsidRPr="00A5408B">
              <w:rPr>
                <w:rFonts w:ascii="Arial" w:eastAsia="Arial" w:hAnsi="Arial" w:cs="Arial"/>
                <w:sz w:val="22"/>
                <w:szCs w:val="22"/>
              </w:rPr>
              <w:t xml:space="preserve">Licencie </w:t>
            </w:r>
            <w:r w:rsidR="00625930" w:rsidRPr="00F8025D">
              <w:rPr>
                <w:rFonts w:ascii="Arial" w:eastAsia="Arial" w:hAnsi="Arial" w:cs="Arial"/>
                <w:b/>
                <w:sz w:val="22"/>
                <w:szCs w:val="22"/>
              </w:rPr>
              <w:t>69</w:t>
            </w:r>
            <w:r w:rsidR="00FD76EA" w:rsidRPr="00A5408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5408B">
              <w:rPr>
                <w:rFonts w:ascii="Arial" w:eastAsia="Arial" w:hAnsi="Arial" w:cs="Arial"/>
                <w:sz w:val="22"/>
                <w:szCs w:val="22"/>
              </w:rPr>
              <w:t>ks, vrátane podpory na 3Y</w:t>
            </w:r>
          </w:p>
        </w:tc>
      </w:tr>
      <w:tr w:rsidR="00A5408B" w:rsidRPr="00A5408B" w14:paraId="05A4907A" w14:textId="77777777" w:rsidTr="003F4840">
        <w:trPr>
          <w:trHeight w:val="170"/>
        </w:trPr>
        <w:tc>
          <w:tcPr>
            <w:tcW w:w="2546" w:type="dxa"/>
          </w:tcPr>
          <w:p w14:paraId="5F8246D5" w14:textId="3CA826BE" w:rsidR="00FD76EA" w:rsidRPr="00A5408B" w:rsidRDefault="00AC07B9" w:rsidP="00AC07B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5408B">
              <w:rPr>
                <w:rFonts w:ascii="Arial" w:eastAsia="Arial" w:hAnsi="Arial" w:cs="Arial"/>
                <w:sz w:val="22"/>
                <w:szCs w:val="22"/>
              </w:rPr>
              <w:t>SQL Server 2019</w:t>
            </w:r>
            <w:r w:rsidR="0062593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5408B">
              <w:rPr>
                <w:rFonts w:ascii="Arial" w:eastAsia="Arial" w:hAnsi="Arial" w:cs="Arial"/>
                <w:sz w:val="22"/>
                <w:szCs w:val="22"/>
              </w:rPr>
              <w:t>Standard - per core - (2 Core licencia)</w:t>
            </w:r>
          </w:p>
        </w:tc>
        <w:tc>
          <w:tcPr>
            <w:tcW w:w="6521" w:type="dxa"/>
          </w:tcPr>
          <w:p w14:paraId="23E43A7D" w14:textId="44765762" w:rsidR="00FD76EA" w:rsidRPr="00A5408B" w:rsidRDefault="00AC07B9" w:rsidP="00AC07B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5408B">
              <w:rPr>
                <w:rFonts w:ascii="Arial" w:eastAsia="Arial" w:hAnsi="Arial" w:cs="Arial"/>
                <w:sz w:val="22"/>
                <w:szCs w:val="22"/>
              </w:rPr>
              <w:t xml:space="preserve">SQL Server 2019 Standard Editions - per core - (2 Core pack licencia), – Licencie </w:t>
            </w:r>
            <w:r w:rsidRPr="00F8025D">
              <w:rPr>
                <w:rFonts w:ascii="Arial" w:eastAsia="Arial" w:hAnsi="Arial" w:cs="Arial"/>
                <w:b/>
                <w:sz w:val="22"/>
                <w:szCs w:val="22"/>
              </w:rPr>
              <w:t>72</w:t>
            </w:r>
            <w:r w:rsidR="00F8025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5408B">
              <w:rPr>
                <w:rFonts w:ascii="Arial" w:eastAsia="Arial" w:hAnsi="Arial" w:cs="Arial"/>
                <w:sz w:val="22"/>
                <w:szCs w:val="22"/>
              </w:rPr>
              <w:t>ks , vrátane podpory na 3Y</w:t>
            </w:r>
          </w:p>
        </w:tc>
      </w:tr>
    </w:tbl>
    <w:p w14:paraId="343DDEC2" w14:textId="12D49337" w:rsidR="00FD76EA" w:rsidRDefault="00FD76EA">
      <w:pPr>
        <w:jc w:val="both"/>
        <w:rPr>
          <w:rFonts w:ascii="Arial" w:eastAsia="Arial" w:hAnsi="Arial" w:cs="Arial"/>
          <w:sz w:val="22"/>
          <w:szCs w:val="22"/>
        </w:rPr>
      </w:pPr>
    </w:p>
    <w:p w14:paraId="27ED2EC8" w14:textId="000E47BF" w:rsidR="00625930" w:rsidRDefault="00625930" w:rsidP="006259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Software RedHat</w:t>
      </w:r>
    </w:p>
    <w:p w14:paraId="512878AF" w14:textId="77777777" w:rsidR="00625930" w:rsidRDefault="00625930" w:rsidP="00625930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6521"/>
      </w:tblGrid>
      <w:tr w:rsidR="00625930" w14:paraId="5362034C" w14:textId="77777777" w:rsidTr="00E238BB">
        <w:trPr>
          <w:trHeight w:val="284"/>
        </w:trPr>
        <w:tc>
          <w:tcPr>
            <w:tcW w:w="2546" w:type="dxa"/>
            <w:shd w:val="clear" w:color="auto" w:fill="BFBFBF"/>
            <w:vAlign w:val="center"/>
          </w:tcPr>
          <w:p w14:paraId="18AABD19" w14:textId="77777777" w:rsidR="00625930" w:rsidRDefault="00625930" w:rsidP="00E238B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Technické vlastnosti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692534A8" w14:textId="77777777" w:rsidR="00625930" w:rsidRDefault="00625930" w:rsidP="00E238B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hodnota</w:t>
            </w:r>
          </w:p>
        </w:tc>
      </w:tr>
      <w:tr w:rsidR="00625930" w:rsidRPr="00DA7559" w14:paraId="33902C22" w14:textId="77777777" w:rsidTr="00E238BB">
        <w:trPr>
          <w:trHeight w:val="284"/>
        </w:trPr>
        <w:tc>
          <w:tcPr>
            <w:tcW w:w="2546" w:type="dxa"/>
          </w:tcPr>
          <w:p w14:paraId="72255485" w14:textId="55D0F93B" w:rsidR="00625930" w:rsidRPr="00DA7559" w:rsidRDefault="00DA7559" w:rsidP="00DA75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A7559">
              <w:rPr>
                <w:rFonts w:ascii="Arial" w:eastAsia="Arial" w:hAnsi="Arial" w:cs="Arial"/>
                <w:sz w:val="22"/>
                <w:szCs w:val="22"/>
              </w:rPr>
              <w:t>Red Hat Enterprise Linux for Virtual Datacenters with Smart Management, Standard</w:t>
            </w:r>
          </w:p>
        </w:tc>
        <w:tc>
          <w:tcPr>
            <w:tcW w:w="6521" w:type="dxa"/>
          </w:tcPr>
          <w:p w14:paraId="1D287153" w14:textId="51AB8642" w:rsidR="00625930" w:rsidRPr="00A5408B" w:rsidRDefault="00DA7559" w:rsidP="005D41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A7559">
              <w:rPr>
                <w:rFonts w:ascii="Arial" w:eastAsia="Arial" w:hAnsi="Arial" w:cs="Arial"/>
                <w:sz w:val="22"/>
                <w:szCs w:val="22"/>
              </w:rPr>
              <w:t>Red Hat Enterprise Linux for Virtual Datacenters with Smart Management, Standard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Editions </w:t>
            </w:r>
            <w:r w:rsidR="005D416F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D416F">
              <w:rPr>
                <w:rFonts w:ascii="Arial" w:eastAsia="Arial" w:hAnsi="Arial" w:cs="Arial"/>
                <w:sz w:val="22"/>
                <w:szCs w:val="22"/>
              </w:rPr>
              <w:t>Licencia</w:t>
            </w:r>
            <w:r w:rsidR="00625930" w:rsidRPr="00A5408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D416F">
              <w:rPr>
                <w:rFonts w:ascii="Arial" w:eastAsia="Arial" w:hAnsi="Arial" w:cs="Arial"/>
                <w:sz w:val="22"/>
                <w:szCs w:val="22"/>
              </w:rPr>
              <w:t>pre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bookmarkStart w:id="4" w:name="_GoBack"/>
            <w:r w:rsidR="005D416F" w:rsidRPr="00F8025D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bookmarkEnd w:id="4"/>
            <w:r w:rsidR="00F8025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D416F">
              <w:rPr>
                <w:rFonts w:ascii="Arial" w:eastAsia="Arial" w:hAnsi="Arial" w:cs="Arial"/>
                <w:sz w:val="22"/>
                <w:szCs w:val="22"/>
              </w:rPr>
              <w:t>ks serverov 2 sockets</w:t>
            </w:r>
            <w:r w:rsidR="00625930" w:rsidRPr="00A5408B">
              <w:rPr>
                <w:rFonts w:ascii="Arial" w:eastAsia="Arial" w:hAnsi="Arial" w:cs="Arial"/>
                <w:sz w:val="22"/>
                <w:szCs w:val="22"/>
              </w:rPr>
              <w:t>, vrátane podpory na 3Y</w:t>
            </w:r>
          </w:p>
        </w:tc>
      </w:tr>
    </w:tbl>
    <w:p w14:paraId="0020595C" w14:textId="77777777" w:rsidR="00625930" w:rsidRDefault="00625930">
      <w:pPr>
        <w:jc w:val="both"/>
        <w:rPr>
          <w:rFonts w:ascii="Arial" w:eastAsia="Arial" w:hAnsi="Arial" w:cs="Arial"/>
          <w:sz w:val="22"/>
          <w:szCs w:val="22"/>
        </w:rPr>
      </w:pPr>
    </w:p>
    <w:p w14:paraId="3A267634" w14:textId="77777777" w:rsidR="00D2156B" w:rsidRDefault="00D2156B" w:rsidP="00D2156B">
      <w:pPr>
        <w:pStyle w:val="Nadpis2"/>
      </w:pPr>
      <w:r>
        <w:t>Softvér pre zálohovanie 1</w:t>
      </w:r>
    </w:p>
    <w:p w14:paraId="70916F8C" w14:textId="77777777" w:rsidR="00D2156B" w:rsidRDefault="00D2156B" w:rsidP="00D215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tabuľke nižšie sú uvedené požiadavky na softvér pre zálohovanie - požiadavky pre Backup (VM); verejný obstarávateľ požaduje uviesť cenu za minimálny</w:t>
      </w:r>
      <w:r>
        <w:rPr>
          <w:rFonts w:ascii="Arial" w:hAnsi="Arial" w:cs="Arial"/>
          <w:sz w:val="22"/>
          <w:szCs w:val="22"/>
          <w:lang w:val="en-US"/>
        </w:rPr>
        <w:t xml:space="preserve"> pack</w:t>
      </w:r>
      <w:r>
        <w:rPr>
          <w:rFonts w:ascii="Arial" w:hAnsi="Arial" w:cs="Arial"/>
          <w:sz w:val="22"/>
          <w:szCs w:val="22"/>
        </w:rPr>
        <w:t xml:space="preserve"> a cenu </w:t>
      </w:r>
      <w:r>
        <w:rPr>
          <w:rFonts w:ascii="Arial" w:hAnsi="Arial" w:cs="Arial"/>
          <w:b/>
          <w:bCs/>
          <w:sz w:val="22"/>
          <w:szCs w:val="22"/>
        </w:rPr>
        <w:t>pre 300 VM</w:t>
      </w:r>
    </w:p>
    <w:p w14:paraId="167132B7" w14:textId="77777777" w:rsidR="00D2156B" w:rsidRDefault="00D2156B" w:rsidP="00D2156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6492"/>
      </w:tblGrid>
      <w:tr w:rsidR="00D2156B" w14:paraId="0B4EBBB0" w14:textId="77777777" w:rsidTr="00D2156B">
        <w:trPr>
          <w:trHeight w:val="255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35CD7" w14:textId="6F391985" w:rsidR="00D2156B" w:rsidRPr="00893A3F" w:rsidRDefault="00D2156B" w:rsidP="006B669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Technické vlastnosti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D6D15" w14:textId="77777777" w:rsidR="00D2156B" w:rsidRPr="00893A3F" w:rsidRDefault="00D2156B" w:rsidP="006B669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Minimálne</w:t>
            </w:r>
            <w:r w:rsidRPr="00893A3F">
              <w:rPr>
                <w:rFonts w:ascii="Arial" w:eastAsia="Arial" w:hAnsi="Arial" w:cs="Arial"/>
                <w:b/>
                <w:sz w:val="22"/>
                <w:szCs w:val="22"/>
              </w:rPr>
              <w:t xml:space="preserve"> požadované parametre</w:t>
            </w:r>
          </w:p>
        </w:tc>
      </w:tr>
      <w:tr w:rsidR="00D2156B" w14:paraId="3D1D9F23" w14:textId="77777777" w:rsidTr="00D2156B">
        <w:trPr>
          <w:trHeight w:val="255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3088E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Licenčný model</w:t>
            </w: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C2393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Licencie na počet zálohovaných virtuálnych alebo fyzických serverov.</w:t>
            </w:r>
          </w:p>
        </w:tc>
      </w:tr>
      <w:tr w:rsidR="00D2156B" w14:paraId="39387777" w14:textId="77777777" w:rsidTr="00D2156B">
        <w:trPr>
          <w:trHeight w:val="255"/>
        </w:trPr>
        <w:tc>
          <w:tcPr>
            <w:tcW w:w="251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EC84C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Základné požiadavky </w:t>
            </w: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6E97F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zálohovanie virtuálnych serverov na platforme VMware, Microsoft Hyper-V</w:t>
            </w:r>
          </w:p>
        </w:tc>
      </w:tr>
      <w:tr w:rsidR="00D2156B" w14:paraId="6B145482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BF143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379CB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zálohovanie fyzických serverov s OS Windows 2008R2 a novší, Linux</w:t>
            </w:r>
          </w:p>
        </w:tc>
      </w:tr>
      <w:tr w:rsidR="00D2156B" w14:paraId="021DF6B1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F16C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C68D2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zálohovanie na:</w:t>
            </w:r>
            <w:r>
              <w:rPr>
                <w:rFonts w:ascii="Arial" w:hAnsi="Arial" w:cs="Arial"/>
                <w:sz w:val="20"/>
                <w:szCs w:val="20"/>
              </w:rPr>
              <w:br/>
              <w:t>- Diskové úložisko (filesystem)</w:t>
            </w:r>
            <w:r>
              <w:rPr>
                <w:rFonts w:ascii="Arial" w:hAnsi="Arial" w:cs="Arial"/>
                <w:sz w:val="20"/>
                <w:szCs w:val="20"/>
              </w:rPr>
              <w:br/>
              <w:t>- Páskovú mechaniku</w:t>
            </w:r>
            <w:r>
              <w:rPr>
                <w:rFonts w:ascii="Arial" w:hAnsi="Arial" w:cs="Arial"/>
                <w:sz w:val="20"/>
                <w:szCs w:val="20"/>
              </w:rPr>
              <w:br/>
              <w:t>- Deduplikačné úložisko napr. Dell Datadomain, HPE StoreOnce</w:t>
            </w:r>
            <w:r>
              <w:rPr>
                <w:rFonts w:ascii="Arial" w:hAnsi="Arial" w:cs="Arial"/>
                <w:sz w:val="20"/>
                <w:szCs w:val="20"/>
              </w:rPr>
              <w:br/>
              <w:t>- Objektové S3 kompatibilné úložisko</w:t>
            </w:r>
          </w:p>
        </w:tc>
      </w:tr>
      <w:tr w:rsidR="00D2156B" w14:paraId="62606D56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D92D5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6C781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zálohy môžu byť ukladané šifrované</w:t>
            </w:r>
          </w:p>
        </w:tc>
      </w:tr>
      <w:tr w:rsidR="00D2156B" w14:paraId="40508AA9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7567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7BF3F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retencia záloh môže byť určená počtom bodov obnovy alebo časovým oknom</w:t>
            </w:r>
          </w:p>
        </w:tc>
      </w:tr>
      <w:tr w:rsidR="00D2156B" w14:paraId="0045516B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446C4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BB116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zálohovanie musí podporovať vytváranie</w:t>
            </w:r>
            <w:r>
              <w:rPr>
                <w:rFonts w:ascii="Arial" w:hAnsi="Arial" w:cs="Arial"/>
                <w:sz w:val="20"/>
                <w:szCs w:val="20"/>
              </w:rPr>
              <w:br/>
              <w:t>- rozdielových záloh</w:t>
            </w:r>
            <w:r>
              <w:rPr>
                <w:rFonts w:ascii="Arial" w:hAnsi="Arial" w:cs="Arial"/>
                <w:sz w:val="20"/>
                <w:szCs w:val="20"/>
              </w:rPr>
              <w:br/>
              <w:t>- plných záloh – aktívnym prečítaním dát</w:t>
            </w:r>
            <w:r>
              <w:rPr>
                <w:rFonts w:ascii="Arial" w:hAnsi="Arial" w:cs="Arial"/>
                <w:sz w:val="20"/>
                <w:szCs w:val="20"/>
              </w:rPr>
              <w:br/>
              <w:t>- plných záloh – spojením rozdielových záloh bez nutnosti čítania produkčných dát</w:t>
            </w:r>
          </w:p>
        </w:tc>
      </w:tr>
      <w:tr w:rsidR="00D2156B" w14:paraId="7BDA35C9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20BA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17BE2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konzistentných záloh transakčných aplikácií MS SQL Sever, MS Exchange, Oracle RDBMS</w:t>
            </w:r>
          </w:p>
        </w:tc>
      </w:tr>
      <w:tr w:rsidR="00D2156B" w14:paraId="12F8C11D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520F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EF4F9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obnovenia celej virtuálneho servera, ako aj individuálnych súborov VM</w:t>
            </w:r>
          </w:p>
        </w:tc>
      </w:tr>
      <w:tr w:rsidR="00D2156B" w14:paraId="6A617F78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5220A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7D5CB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rýchle obnovenie služby pre užívateľa spustením virtuálnych počítačov, u ktorých došlo k chybe, priamo zo súboru zálohy v bežnom úložisku pre zálohovanie</w:t>
            </w:r>
          </w:p>
        </w:tc>
      </w:tr>
      <w:tr w:rsidR="00D2156B" w14:paraId="53B39AFB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1DAD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342B9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obnovenie súborov zo známych súborových systémov používaných v systémoch Windows, Linux, BSD, Mac OS, Novell, Solaris a Unix</w:t>
            </w:r>
          </w:p>
        </w:tc>
      </w:tr>
      <w:tr w:rsidR="00D2156B" w14:paraId="7536A28C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7EFA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D16F6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vyhľadávanie a obnova všetkých typov objektov služby AD, napríklad používateľov, skupín, počítačových účtov, kontaktov, vrátane obnovenia užívateľských a počítačových hesiel.</w:t>
            </w:r>
          </w:p>
        </w:tc>
      </w:tr>
      <w:tr w:rsidR="00D2156B" w14:paraId="7F480B03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C421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EF5CA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vyhľadávanie a obnovenie jednotlivých položiek servera Exchange (e-maily, schôdzky, poznámky, kontakty atď.), online archivovaných poštových schránkach a natrvalo odstránených položkách.</w:t>
            </w:r>
          </w:p>
        </w:tc>
      </w:tr>
      <w:tr w:rsidR="00D2156B" w14:paraId="41639B34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B80FB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FDFA5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obnovenie jednotlivých databáz SQL bez potreby rozsiahlych znalostí servera SQL či vyhľadávanie databáz a súborov s protokolmi transakcií</w:t>
            </w:r>
          </w:p>
        </w:tc>
      </w:tr>
      <w:tr w:rsidR="00D2156B" w14:paraId="5459E978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E0B3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9FF75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presun záloh do vzdialeného úložiska vďaka integrovanému, rýchlemu a bezpečnému spôsobu zálohovania do cloudu a obnovovanie z cloudu</w:t>
            </w:r>
          </w:p>
        </w:tc>
      </w:tr>
      <w:tr w:rsidR="00D2156B" w14:paraId="0CBF8AE5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E82C1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AD7A3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automatické kopírovanie všetkých alebo len vybraných záloh VM do vybraného úložiska pre zotavenie po havárii, zahŕňa validáciu a opravy pre zaistenie dostupnosti a spoľahlivosti kópií</w:t>
            </w:r>
          </w:p>
        </w:tc>
      </w:tr>
      <w:tr w:rsidR="00D2156B" w14:paraId="1985D462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1E47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64E47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replikácie virtuálnych mašín medzi kompatibilnými virtualizačnými platformami</w:t>
            </w:r>
          </w:p>
        </w:tc>
      </w:tr>
      <w:tr w:rsidR="00D2156B" w14:paraId="0AA20FCC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7E3B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473FB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vytvorenie repliky virtuálneho servera zo záloh</w:t>
            </w:r>
          </w:p>
        </w:tc>
      </w:tr>
      <w:tr w:rsidR="00D2156B" w14:paraId="3FD1D49C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4ADA6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6770C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automatické testovanie a overenie každého zálohovaného virtuálneho počítača jeho spustením priamo zo súboru zálohy (nie je nutné plné obnovenie VM), vrátane podpory pre vlastné testovacie skripty</w:t>
            </w:r>
          </w:p>
        </w:tc>
      </w:tr>
      <w:tr w:rsidR="00D2156B" w14:paraId="642AD79B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48EC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8874A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Proaktívny dohľad nad VMware vSphere aj MS Hyper-V prostredím s preddefinovanými upozorneniami na neštandardné stavy monitorovaných metrík a doporučeniami na riešenie hlásených situácií</w:t>
            </w:r>
          </w:p>
        </w:tc>
      </w:tr>
      <w:tr w:rsidR="00D2156B" w14:paraId="4F78AC7B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3836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F66D5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Prehľadný kalendár všetkých úloh ochrany dát vrátane informácií o veľkosti zálohovacích okien a reálnom historickom trvaní jednotlivých úloh</w:t>
            </w:r>
          </w:p>
        </w:tc>
      </w:tr>
      <w:tr w:rsidR="00D2156B" w14:paraId="5A099B29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BFE1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6F95F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Sledovanie súladu ochrany dát s požiadavkami SLA a ochrany voči zmazaniu (immutability) jednotlivých chránených prostredí</w:t>
            </w:r>
          </w:p>
        </w:tc>
      </w:tr>
      <w:tr w:rsidR="00D2156B" w14:paraId="584F5F24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25214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3AF78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Webové dashboardy s prehľadnými informáciami o stave produkčného i zálohovacieho prostredia, dostupných zdrojoch a kapacitách</w:t>
            </w:r>
          </w:p>
        </w:tc>
      </w:tr>
      <w:tr w:rsidR="00D2156B" w14:paraId="47D724B3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1CC08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D3495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Reporty a auditovacie správy pre optimalizáciu využitia zdrojov a vyhodnocovanie možných bezpečnostných hrozieb</w:t>
            </w:r>
          </w:p>
        </w:tc>
      </w:tr>
      <w:tr w:rsidR="00D2156B" w14:paraId="599F1206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C883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40920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Reporty o zmenách v nastaveniach zálohovacích úloh a zálohovacieho prostredia</w:t>
            </w:r>
          </w:p>
        </w:tc>
      </w:tr>
      <w:tr w:rsidR="00D2156B" w14:paraId="4D359CE0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364B1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AC573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Reporty o nastaveniach a zmenách oprávnení užívateľov virtualizačnej platformy </w:t>
            </w:r>
          </w:p>
        </w:tc>
      </w:tr>
      <w:tr w:rsidR="00D2156B" w14:paraId="51DE3253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1DE3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73F24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Automatická analyzika logov zálohovacieho riešenia voči najaktuálnejším rizikám identifikovaným technickou podporou riešenia</w:t>
            </w:r>
          </w:p>
        </w:tc>
      </w:tr>
      <w:tr w:rsidR="00D2156B" w14:paraId="2189ED61" w14:textId="77777777" w:rsidTr="00D2156B">
        <w:trPr>
          <w:trHeight w:val="255"/>
        </w:trPr>
        <w:tc>
          <w:tcPr>
            <w:tcW w:w="251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89DF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F032E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automatizácie cez PowerShell skripty</w:t>
            </w:r>
          </w:p>
        </w:tc>
      </w:tr>
      <w:tr w:rsidR="00D2156B" w14:paraId="64B72FD5" w14:textId="77777777" w:rsidTr="00D2156B">
        <w:trPr>
          <w:trHeight w:val="255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46AC5" w14:textId="77777777" w:rsidR="00D2156B" w:rsidRDefault="00D2156B" w:rsidP="006B6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Servisná podpora</w:t>
            </w:r>
          </w:p>
        </w:tc>
        <w:tc>
          <w:tcPr>
            <w:tcW w:w="64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0DACF" w14:textId="77777777" w:rsidR="00D2156B" w:rsidRDefault="00D2156B" w:rsidP="006B6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Predplatená 3-ročná technická podpora (vzdialená pomoc, možnosť nahlasovania incidentov v režime 24x7, neobmedzený počet incidentov), prístup k opravným sw balíkom - patchom a prístup k aktualizácií na novšie verzie.</w:t>
            </w:r>
            <w:r>
              <w:rPr>
                <w:rFonts w:ascii="Arial" w:hAnsi="Arial" w:cs="Arial"/>
                <w:sz w:val="20"/>
                <w:szCs w:val="20"/>
              </w:rPr>
              <w:br/>
              <w:t>Podpora technického špecialistu na daný zálohovaci softvér v rozsahu 8-dní ročne počas predplatenej servisnej podpory 3-rokov.</w:t>
            </w:r>
          </w:p>
        </w:tc>
      </w:tr>
    </w:tbl>
    <w:p w14:paraId="62B2E94D" w14:textId="77777777" w:rsidR="00D2156B" w:rsidRDefault="00D2156B" w:rsidP="00D2156B">
      <w:pPr>
        <w:jc w:val="both"/>
        <w:rPr>
          <w:rFonts w:ascii="Arial" w:hAnsi="Arial" w:cs="Arial"/>
          <w:sz w:val="22"/>
          <w:szCs w:val="22"/>
        </w:rPr>
      </w:pPr>
    </w:p>
    <w:p w14:paraId="04AD1089" w14:textId="77777777" w:rsidR="00D2156B" w:rsidRDefault="00D2156B" w:rsidP="00D2156B">
      <w:pPr>
        <w:rPr>
          <w:rFonts w:ascii="Arial" w:hAnsi="Arial" w:cs="Arial"/>
          <w:sz w:val="22"/>
          <w:szCs w:val="22"/>
        </w:rPr>
      </w:pPr>
    </w:p>
    <w:p w14:paraId="7E5FF7E9" w14:textId="77777777" w:rsidR="00D2156B" w:rsidRDefault="00D2156B" w:rsidP="00D2156B">
      <w:pPr>
        <w:pStyle w:val="Nadpis2"/>
      </w:pPr>
      <w:r>
        <w:t>Softvér pre zálohovanie 2</w:t>
      </w:r>
    </w:p>
    <w:p w14:paraId="73952C8B" w14:textId="77777777" w:rsidR="00D2156B" w:rsidRDefault="00D2156B" w:rsidP="00D215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tabuľke nižšie sú uvedené požiadavky na softvér pre zálohovanie - požiadavky pre Backup (Kubernetes); verejný obstarávateľ požaduje uviesť cenu za minimálny</w:t>
      </w:r>
      <w:r>
        <w:rPr>
          <w:rFonts w:ascii="Arial" w:hAnsi="Arial" w:cs="Arial"/>
          <w:sz w:val="22"/>
          <w:szCs w:val="22"/>
          <w:lang w:val="en-US"/>
        </w:rPr>
        <w:t xml:space="preserve"> pack </w:t>
      </w:r>
      <w:r>
        <w:rPr>
          <w:rFonts w:ascii="Arial" w:hAnsi="Arial" w:cs="Arial"/>
          <w:sz w:val="22"/>
          <w:szCs w:val="22"/>
        </w:rPr>
        <w:t xml:space="preserve">a cenu pre </w:t>
      </w:r>
      <w:r>
        <w:rPr>
          <w:rFonts w:ascii="Arial" w:hAnsi="Arial" w:cs="Arial"/>
          <w:b/>
          <w:bCs/>
          <w:sz w:val="22"/>
          <w:szCs w:val="22"/>
        </w:rPr>
        <w:t>30 VM (Nodov)</w:t>
      </w:r>
    </w:p>
    <w:p w14:paraId="3CDAD784" w14:textId="77777777" w:rsidR="00D2156B" w:rsidRDefault="00D2156B" w:rsidP="00D2156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6663"/>
      </w:tblGrid>
      <w:tr w:rsidR="00D2156B" w14:paraId="69B57D54" w14:textId="77777777" w:rsidTr="006B6697">
        <w:trPr>
          <w:trHeight w:val="294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28AC915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150F436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Minimálne požadované parametre</w:t>
            </w:r>
          </w:p>
        </w:tc>
      </w:tr>
      <w:tr w:rsidR="00D2156B" w14:paraId="26AA3156" w14:textId="77777777" w:rsidTr="006B6697">
        <w:trPr>
          <w:trHeight w:val="294"/>
        </w:trPr>
        <w:tc>
          <w:tcPr>
            <w:tcW w:w="23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5E4D1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Architektúra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18A21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bežať natívne v prostredí Kubernetes Namespace</w:t>
            </w:r>
          </w:p>
          <w:p w14:paraId="4AECF1CD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mať schopnosť obnovy chránených klastrov Kubernetes  po havárii do inej lokality, alebo na inú platformu</w:t>
            </w:r>
          </w:p>
          <w:p w14:paraId="7F051737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umožňovať jednoduchú migráciu klastrov Kubernetes medzi fyzickými, virtualizovanými a cloudovými prostrediami</w:t>
            </w:r>
          </w:p>
          <w:p w14:paraId="01589FB5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podporovať OpenShift Container Platform 4.10</w:t>
            </w:r>
          </w:p>
          <w:p w14:paraId="3FF386A5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poskytovať integráciu s pracovnými postupmi GitOps</w:t>
            </w:r>
          </w:p>
          <w:p w14:paraId="7C814201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 xml:space="preserve">Riešenie musí podporovať ako úložisko záloh Azure Files </w:t>
            </w:r>
          </w:p>
          <w:p w14:paraId="05CE1268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podporovať IPv6</w:t>
            </w:r>
          </w:p>
          <w:p w14:paraId="4DA4E4F1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umožňovať automaticky priraďovať zálohovacie okno jednotlivým politikám na základe časových intervalov s nižšou pracovnou záťažou</w:t>
            </w:r>
          </w:p>
          <w:p w14:paraId="49EFBE21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umožňovať vytváranie inštalačných manifestov cez jednoduchého grafického sprievodcu.</w:t>
            </w:r>
          </w:p>
          <w:p w14:paraId="0B3FB908" w14:textId="0D5DC3E5" w:rsidR="00D2156B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byť plne využívať API pre podporu požiadaviek developerov</w:t>
            </w:r>
          </w:p>
        </w:tc>
      </w:tr>
      <w:tr w:rsidR="00D2156B" w14:paraId="6D021FEC" w14:textId="77777777" w:rsidTr="006B6697">
        <w:trPr>
          <w:trHeight w:val="294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38A61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Škálovateľnosť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098C8" w14:textId="667435C2" w:rsidR="00D2156B" w:rsidRDefault="003978F9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byť plne softvérové, nezávislé na akýchkoľvek HW platformách</w:t>
            </w:r>
          </w:p>
        </w:tc>
      </w:tr>
      <w:tr w:rsidR="00D2156B" w14:paraId="759A607E" w14:textId="77777777" w:rsidTr="006B6697">
        <w:trPr>
          <w:trHeight w:val="294"/>
        </w:trPr>
        <w:tc>
          <w:tcPr>
            <w:tcW w:w="23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F96D3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Platforma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19E2C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nesmie vyžadovať  vlastné daemon sety</w:t>
            </w:r>
          </w:p>
          <w:p w14:paraId="1A5DC22C" w14:textId="20FCA5CA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nesmie mať žiadne privilegované daemon</w:t>
            </w:r>
            <w:r w:rsidR="007F12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8F9">
              <w:rPr>
                <w:rFonts w:ascii="Arial" w:hAnsi="Arial" w:cs="Arial"/>
                <w:sz w:val="22"/>
                <w:szCs w:val="22"/>
              </w:rPr>
              <w:t>sety</w:t>
            </w:r>
          </w:p>
          <w:p w14:paraId="19EED0B4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Požadujeme dynamickú automatickú  škálovateľnosť s Kubernetes Klastrom</w:t>
            </w:r>
          </w:p>
          <w:p w14:paraId="79C93E23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obsahovať plnohodnotné reportovanie</w:t>
            </w:r>
          </w:p>
          <w:p w14:paraId="3861C01F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obsahovať plnohodnotné  UI</w:t>
            </w:r>
          </w:p>
          <w:p w14:paraId="19144566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automaticky zálohovať Application Objects a Dependencies</w:t>
            </w:r>
          </w:p>
          <w:p w14:paraId="39B70F41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podporovať Red Hat OpenShift Virtualization</w:t>
            </w:r>
          </w:p>
          <w:p w14:paraId="3ED1091B" w14:textId="01D344A2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 xml:space="preserve">Řešení musí </w:t>
            </w:r>
            <w:r w:rsidR="007F1222" w:rsidRPr="003978F9">
              <w:rPr>
                <w:rFonts w:ascii="Arial" w:hAnsi="Arial" w:cs="Arial"/>
                <w:sz w:val="22"/>
                <w:szCs w:val="22"/>
              </w:rPr>
              <w:t>umožňovať</w:t>
            </w:r>
            <w:r w:rsidRPr="003978F9">
              <w:rPr>
                <w:rFonts w:ascii="Arial" w:hAnsi="Arial" w:cs="Arial"/>
                <w:sz w:val="22"/>
                <w:szCs w:val="22"/>
              </w:rPr>
              <w:t xml:space="preserve"> automaticky </w:t>
            </w:r>
            <w:r w:rsidR="007F1222" w:rsidRPr="003978F9">
              <w:rPr>
                <w:rFonts w:ascii="Arial" w:hAnsi="Arial" w:cs="Arial"/>
                <w:sz w:val="22"/>
                <w:szCs w:val="22"/>
              </w:rPr>
              <w:t>priraďovať</w:t>
            </w:r>
            <w:r w:rsidRPr="003978F9">
              <w:rPr>
                <w:rFonts w:ascii="Arial" w:hAnsi="Arial" w:cs="Arial"/>
                <w:sz w:val="22"/>
                <w:szCs w:val="22"/>
              </w:rPr>
              <w:t xml:space="preserve"> zálohovac</w:t>
            </w:r>
            <w:r w:rsidR="007F1222">
              <w:rPr>
                <w:rFonts w:ascii="Arial" w:hAnsi="Arial" w:cs="Arial"/>
                <w:sz w:val="22"/>
                <w:szCs w:val="22"/>
              </w:rPr>
              <w:t>ie</w:t>
            </w:r>
            <w:r w:rsidRPr="003978F9">
              <w:rPr>
                <w:rFonts w:ascii="Arial" w:hAnsi="Arial" w:cs="Arial"/>
                <w:sz w:val="22"/>
                <w:szCs w:val="22"/>
              </w:rPr>
              <w:t xml:space="preserve"> okno jednotlivým politikám na základ</w:t>
            </w:r>
            <w:r w:rsidR="007F1222">
              <w:rPr>
                <w:rFonts w:ascii="Arial" w:hAnsi="Arial" w:cs="Arial"/>
                <w:sz w:val="22"/>
                <w:szCs w:val="22"/>
              </w:rPr>
              <w:t>e</w:t>
            </w:r>
            <w:r w:rsidRPr="003978F9">
              <w:rPr>
                <w:rFonts w:ascii="Arial" w:hAnsi="Arial" w:cs="Arial"/>
                <w:sz w:val="22"/>
                <w:szCs w:val="22"/>
              </w:rPr>
              <w:t xml:space="preserve"> časových interval</w:t>
            </w:r>
            <w:r w:rsidR="007F1222">
              <w:rPr>
                <w:rFonts w:ascii="Arial" w:hAnsi="Arial" w:cs="Arial"/>
                <w:sz w:val="22"/>
                <w:szCs w:val="22"/>
              </w:rPr>
              <w:t>ov</w:t>
            </w:r>
            <w:r w:rsidRPr="003978F9">
              <w:rPr>
                <w:rFonts w:ascii="Arial" w:hAnsi="Arial" w:cs="Arial"/>
                <w:sz w:val="22"/>
                <w:szCs w:val="22"/>
              </w:rPr>
              <w:t xml:space="preserve"> s nižš</w:t>
            </w:r>
            <w:r w:rsidR="007F1222">
              <w:rPr>
                <w:rFonts w:ascii="Arial" w:hAnsi="Arial" w:cs="Arial"/>
                <w:sz w:val="22"/>
                <w:szCs w:val="22"/>
              </w:rPr>
              <w:t>ou</w:t>
            </w:r>
            <w:r w:rsidRPr="003978F9">
              <w:rPr>
                <w:rFonts w:ascii="Arial" w:hAnsi="Arial" w:cs="Arial"/>
                <w:sz w:val="22"/>
                <w:szCs w:val="22"/>
              </w:rPr>
              <w:t xml:space="preserve"> pracovn</w:t>
            </w:r>
            <w:r w:rsidR="007F1222">
              <w:rPr>
                <w:rFonts w:ascii="Arial" w:hAnsi="Arial" w:cs="Arial"/>
                <w:sz w:val="22"/>
                <w:szCs w:val="22"/>
              </w:rPr>
              <w:t>ou</w:t>
            </w:r>
            <w:r w:rsidRPr="003978F9">
              <w:rPr>
                <w:rFonts w:ascii="Arial" w:hAnsi="Arial" w:cs="Arial"/>
                <w:sz w:val="22"/>
                <w:szCs w:val="22"/>
              </w:rPr>
              <w:t xml:space="preserve"> zá</w:t>
            </w:r>
            <w:r w:rsidR="007F1222">
              <w:rPr>
                <w:rFonts w:ascii="Arial" w:hAnsi="Arial" w:cs="Arial"/>
                <w:sz w:val="22"/>
                <w:szCs w:val="22"/>
              </w:rPr>
              <w:t>ťa</w:t>
            </w:r>
            <w:r w:rsidRPr="003978F9">
              <w:rPr>
                <w:rFonts w:ascii="Arial" w:hAnsi="Arial" w:cs="Arial"/>
                <w:sz w:val="22"/>
                <w:szCs w:val="22"/>
              </w:rPr>
              <w:t>ž</w:t>
            </w:r>
            <w:r w:rsidR="007F1222">
              <w:rPr>
                <w:rFonts w:ascii="Arial" w:hAnsi="Arial" w:cs="Arial"/>
                <w:sz w:val="22"/>
                <w:szCs w:val="22"/>
              </w:rPr>
              <w:t>ou</w:t>
            </w:r>
          </w:p>
          <w:p w14:paraId="74571823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umožňovať vytváranie inštalačných manifestov pomocou jednoduchého grafického sprievodcu.</w:t>
            </w:r>
          </w:p>
          <w:p w14:paraId="4C45F3EB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umožniť transformácie v procese obnovy</w:t>
            </w:r>
          </w:p>
          <w:p w14:paraId="32AB6C4B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umožniť automatizovaný data manažment riadený politikami</w:t>
            </w:r>
          </w:p>
          <w:p w14:paraId="3C99DC04" w14:textId="75663EA0" w:rsidR="00D2156B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umožňovať automaticky priraďovať politiky/pravidlá minimálne na základe TAGs, Labels, alebo názvov aplikácií</w:t>
            </w:r>
          </w:p>
        </w:tc>
      </w:tr>
      <w:tr w:rsidR="00D2156B" w14:paraId="5F4A76E7" w14:textId="77777777" w:rsidTr="006B6697">
        <w:trPr>
          <w:trHeight w:val="294"/>
        </w:trPr>
        <w:tc>
          <w:tcPr>
            <w:tcW w:w="23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4A6DA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Bezpečnosť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3B555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podporovať granulárne RPO menej než 10 min</w:t>
            </w:r>
          </w:p>
          <w:p w14:paraId="24506163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podporovať failover medzi regiónmi, zónami dostupnosti, naprieč cloudmi</w:t>
            </w:r>
          </w:p>
          <w:p w14:paraId="3AB4CED5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Podpora kompresie a deduplikácie S3/NFS cieľov</w:t>
            </w:r>
          </w:p>
          <w:p w14:paraId="456FA03D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podporovať aplikačne konzistentné, databázovo konzistentné, a crash consistentné zálohy</w:t>
            </w:r>
          </w:p>
          <w:p w14:paraId="66631C59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Požadujeme podporu polyglot persistencie</w:t>
            </w:r>
          </w:p>
          <w:p w14:paraId="03437A85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podporovať Air-Gapped Kubernetes prostredia</w:t>
            </w:r>
          </w:p>
          <w:p w14:paraId="4EC00147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Požadujeme podoru RBAC</w:t>
            </w:r>
          </w:p>
          <w:p w14:paraId="36FDED24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byť plne multi-tenantné</w:t>
            </w:r>
          </w:p>
          <w:p w14:paraId="467F6195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podporovať Azure Managed identity</w:t>
            </w:r>
          </w:p>
          <w:p w14:paraId="1FCF735D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Riešeninie musí poskytovať end-to-end šifrovanie</w:t>
            </w:r>
          </w:p>
          <w:p w14:paraId="74896F47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poskytovať immutable zálohy dát</w:t>
            </w:r>
          </w:p>
          <w:p w14:paraId="577EF559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podpora OIDC alebo Tokenovej autentifikácie</w:t>
            </w:r>
          </w:p>
          <w:p w14:paraId="3C97293B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plne podporovať IPv6</w:t>
            </w:r>
          </w:p>
          <w:p w14:paraId="0E15845E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plne podporovať Kubernetes 1.23</w:t>
            </w:r>
          </w:p>
          <w:p w14:paraId="6A83CC02" w14:textId="77777777" w:rsidR="003978F9" w:rsidRPr="003978F9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podporovať S3 Object Lock</w:t>
            </w:r>
          </w:p>
          <w:p w14:paraId="5EC5A4A7" w14:textId="5D365BF7" w:rsidR="00D2156B" w:rsidRDefault="003978F9" w:rsidP="003978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978F9">
              <w:rPr>
                <w:rFonts w:ascii="Arial" w:hAnsi="Arial" w:cs="Arial"/>
                <w:sz w:val="22"/>
                <w:szCs w:val="22"/>
              </w:rPr>
              <w:t>Riešenie musí podporovať Azure Managed Identity</w:t>
            </w:r>
          </w:p>
        </w:tc>
      </w:tr>
      <w:tr w:rsidR="00D2156B" w14:paraId="665718A0" w14:textId="77777777" w:rsidTr="006B6697">
        <w:trPr>
          <w:trHeight w:val="294"/>
        </w:trPr>
        <w:tc>
          <w:tcPr>
            <w:tcW w:w="239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06CC3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Požiadavky na dodanie podpory výrobcu pre softvérový produkt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93D72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Podpora priamo od výrobcu dodávaného softvérového produktu,</w:t>
            </w:r>
          </w:p>
        </w:tc>
      </w:tr>
      <w:tr w:rsidR="00D2156B" w14:paraId="7AE40DE1" w14:textId="77777777" w:rsidTr="006B6697">
        <w:trPr>
          <w:trHeight w:val="294"/>
        </w:trPr>
        <w:tc>
          <w:tcPr>
            <w:tcW w:w="23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8A6A4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DA65E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dĺžka podpory 3 roky od prevzatia.</w:t>
            </w:r>
          </w:p>
        </w:tc>
      </w:tr>
      <w:tr w:rsidR="00D2156B" w14:paraId="3EAB4F89" w14:textId="77777777" w:rsidTr="006B6697">
        <w:trPr>
          <w:trHeight w:val="294"/>
        </w:trPr>
        <w:tc>
          <w:tcPr>
            <w:tcW w:w="23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5779D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A8ACA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nárok na aktuálne verzie softvérového produktu, prístupné  prostredníctvom portálu výrobcu,</w:t>
            </w:r>
          </w:p>
        </w:tc>
      </w:tr>
      <w:tr w:rsidR="00D2156B" w14:paraId="1AF1B43A" w14:textId="77777777" w:rsidTr="006B6697">
        <w:trPr>
          <w:trHeight w:val="294"/>
        </w:trPr>
        <w:tc>
          <w:tcPr>
            <w:tcW w:w="23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700D4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7987D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prístup k opravným balíkom,</w:t>
            </w:r>
          </w:p>
        </w:tc>
      </w:tr>
      <w:tr w:rsidR="00D2156B" w14:paraId="236F9A21" w14:textId="77777777" w:rsidTr="006B6697">
        <w:trPr>
          <w:trHeight w:val="294"/>
        </w:trPr>
        <w:tc>
          <w:tcPr>
            <w:tcW w:w="23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BCD1E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8CCA5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podpora poskytovaná v rozsahu 8 hodín denne v rozmedzí 9:00 – 17:00 SEČ, v pracovných dňoch,</w:t>
            </w:r>
          </w:p>
        </w:tc>
      </w:tr>
      <w:tr w:rsidR="00D2156B" w14:paraId="51615FE8" w14:textId="77777777" w:rsidTr="006B6697">
        <w:trPr>
          <w:trHeight w:val="294"/>
        </w:trPr>
        <w:tc>
          <w:tcPr>
            <w:tcW w:w="23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8A2B5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6AE81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podpora poskytovaná telefonicky, formou emailu, alebo cez ticketovací portál výrobcu.</w:t>
            </w:r>
          </w:p>
        </w:tc>
      </w:tr>
      <w:tr w:rsidR="00D2156B" w14:paraId="2108C624" w14:textId="77777777" w:rsidTr="006B6697">
        <w:trPr>
          <w:trHeight w:val="294"/>
        </w:trPr>
        <w:tc>
          <w:tcPr>
            <w:tcW w:w="23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92757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70933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prístup k dokumentácii prostredníctvom webového portálu výrobcu,</w:t>
            </w:r>
          </w:p>
        </w:tc>
      </w:tr>
      <w:tr w:rsidR="00D2156B" w14:paraId="3C7C13F0" w14:textId="77777777" w:rsidTr="006B6697">
        <w:trPr>
          <w:trHeight w:val="294"/>
        </w:trPr>
        <w:tc>
          <w:tcPr>
            <w:tcW w:w="23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61A08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1A5A2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prioritizácia riešenia nahlásených prípadov podpory podľa ich dopadu na celkovú funkčnosť softvérového produktu,</w:t>
            </w:r>
          </w:p>
        </w:tc>
      </w:tr>
      <w:tr w:rsidR="00D2156B" w14:paraId="78197ED8" w14:textId="77777777" w:rsidTr="006B6697">
        <w:trPr>
          <w:trHeight w:val="294"/>
        </w:trPr>
        <w:tc>
          <w:tcPr>
            <w:tcW w:w="23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5C117" w14:textId="77777777" w:rsidR="00D2156B" w:rsidRDefault="00D2156B" w:rsidP="006B66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D8692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doba odozvy pre príslušnú úroveň závažnosti musí byť garantovaná v nasledujúcom rozsahu:</w:t>
            </w:r>
          </w:p>
          <w:p w14:paraId="36404237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391424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Závažnosť 1. úrovne – kritická</w:t>
            </w:r>
          </w:p>
          <w:p w14:paraId="5AC69E6A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Produkt nie je použiteľný, čo vedie k celkovému narušeniu práce, alebo k inému závažnému dopadu na prevádzku. Reakčná doba: 1 hodina,</w:t>
            </w:r>
          </w:p>
          <w:p w14:paraId="10B83395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9FA443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Závažnosť 2. úrovne – vysoká</w:t>
            </w:r>
          </w:p>
          <w:p w14:paraId="586D5C9B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Zlyhanie veľmi dôležitej čiastkovej funkčnosti produktu. Prevádzka je vážne obmedzená. Reakčná doba: 4 hodiny,</w:t>
            </w:r>
          </w:p>
          <w:p w14:paraId="76867DF9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9BA73B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Závažnosť 3. úrovne – nízka</w:t>
            </w:r>
          </w:p>
          <w:p w14:paraId="0E6B39F5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Zlyhanie menej dôležitej čiastkovej funkčnosti produktu. Produkt nefunguje podľa špecifikácií stanovených výrobcom. Prevádzka je obmedzená len čiastočne. Reakčná doba: 1 pracovný deň,</w:t>
            </w:r>
          </w:p>
          <w:p w14:paraId="429B3655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803BE9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Závažnosť 4. úrovne – iná</w:t>
            </w:r>
          </w:p>
          <w:p w14:paraId="6D873C19" w14:textId="77777777" w:rsidR="00D2156B" w:rsidRDefault="00D2156B" w:rsidP="006B66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Nezávažný problém. Môže to byť napr. žiadosť o dokumentáciu, všeobecnú informáciu, žiadosť o vylepšenie a pod. Reakčná doba: 2 pracovné dni.</w:t>
            </w:r>
          </w:p>
        </w:tc>
      </w:tr>
    </w:tbl>
    <w:p w14:paraId="4D11E90E" w14:textId="77777777" w:rsidR="00D2156B" w:rsidRDefault="00D2156B">
      <w:pPr>
        <w:jc w:val="both"/>
        <w:rPr>
          <w:rFonts w:ascii="Arial" w:eastAsia="Arial" w:hAnsi="Arial" w:cs="Arial"/>
          <w:sz w:val="22"/>
          <w:szCs w:val="22"/>
        </w:rPr>
      </w:pPr>
    </w:p>
    <w:sectPr w:rsidR="00D2156B">
      <w:pgSz w:w="11906" w:h="16838"/>
      <w:pgMar w:top="1440" w:right="1440" w:bottom="1440" w:left="1440" w:header="0" w:footer="0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3EE09" w16cid:durableId="2808BD03"/>
  <w16cid:commentId w16cid:paraId="32370765" w16cid:durableId="2808BD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9D2"/>
    <w:multiLevelType w:val="multilevel"/>
    <w:tmpl w:val="D056F720"/>
    <w:lvl w:ilvl="0">
      <w:numFmt w:val="bullet"/>
      <w:lvlText w:val="·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5E"/>
    <w:rsid w:val="0030190C"/>
    <w:rsid w:val="003978F9"/>
    <w:rsid w:val="003F4840"/>
    <w:rsid w:val="0053125E"/>
    <w:rsid w:val="005D416F"/>
    <w:rsid w:val="00625930"/>
    <w:rsid w:val="007F1222"/>
    <w:rsid w:val="00A5408B"/>
    <w:rsid w:val="00AC07B9"/>
    <w:rsid w:val="00D2156B"/>
    <w:rsid w:val="00DA7559"/>
    <w:rsid w:val="00F8025D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53AB"/>
  <w15:docId w15:val="{77169F74-2B1F-41F7-B61D-0744166F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5930"/>
  </w:style>
  <w:style w:type="paragraph" w:styleId="Nadpis1">
    <w:name w:val="heading 1"/>
    <w:basedOn w:val="Normlny"/>
    <w:next w:val="Normlny"/>
    <w:link w:val="Nadpis1Char"/>
    <w:uiPriority w:val="9"/>
    <w:qFormat/>
    <w:rsid w:val="00FB3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6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link w:val="Odsekzoznamu"/>
    <w:uiPriority w:val="34"/>
    <w:qFormat/>
    <w:locked/>
    <w:rsid w:val="0051329E"/>
    <w:rPr>
      <w:rFonts w:ascii="Times New Roman" w:eastAsia="Times New Roman" w:hAnsi="Times New Roman" w:cs="Times New Roman"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qFormat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20006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FB36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6E6A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paragraph" w:styleId="Zoznam">
    <w:name w:val="List"/>
    <w:basedOn w:val="Zkladntext"/>
    <w:rPr>
      <w:rFonts w:cs="Lohit Devanaga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ohit Devanagari"/>
    </w:rPr>
  </w:style>
  <w:style w:type="paragraph" w:styleId="Odsekzoznamu">
    <w:name w:val="List Paragraph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paragraph" w:customStyle="1" w:styleId="TableContents">
    <w:name w:val="Table Contents"/>
    <w:basedOn w:val="Norm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39"/>
    <w:rsid w:val="0051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80" w:type="dxa"/>
        <w:bottom w:w="100" w:type="dxa"/>
        <w:right w:w="8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80" w:type="dxa"/>
        <w:bottom w:w="100" w:type="dxa"/>
        <w:right w:w="8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301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19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190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1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190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1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v0IMHzLes/gMNt6lBpt1WIkK5g==">AMUW2mWtrXv2qc3xHAlSm6Z9qBUGa3KgHV02pRwEY1L53q1yE+OcC3iUe6Y2pnHIlO7MApaf4KS30+mrNCEdimlYmj2FZ9Wrevr9HetoM8xGUKJKJ31PfuZuzY8ibgDEc0WndtD+9FtoRvpDQ5f53VLkEtzpY/wF9UJcpJBuIztk8m1t/fVxgDQmggU3RW5lRpqRaqMockPbBGh+shd9PvvNrgj6gl+mYhTQkbKL6J0s9/Gim3N8KZU=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3374</Words>
  <Characters>19237</Characters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2023-05-09T14:41:00Z</dcterms:created>
  <dcterms:modified xsi:type="dcterms:W3CDTF">2023-05-14T15:32:00Z</dcterms:modified>
</cp:coreProperties>
</file>