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7A8D72D4" w:rsidR="004E0F8D" w:rsidRPr="0097156C" w:rsidRDefault="00130612" w:rsidP="00130612">
      <w:r w:rsidRPr="0097156C">
        <w:t>Príloha č. 1 k č.p.: CPNR-OMTZ-2023/</w:t>
      </w:r>
      <w:r w:rsidR="006E314B" w:rsidRPr="0097156C">
        <w:t>00</w:t>
      </w:r>
      <w:r w:rsidR="00B0463B">
        <w:t>1853-002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38C4EDC" w14:textId="63C941F3" w:rsidR="00140FFB" w:rsidRPr="0097156C" w:rsidRDefault="00B53825" w:rsidP="005E0536">
      <w:pPr>
        <w:pStyle w:val="Odsekzoznamu"/>
        <w:numPr>
          <w:ilvl w:val="0"/>
          <w:numId w:val="52"/>
        </w:numPr>
        <w:jc w:val="both"/>
        <w:rPr>
          <w:sz w:val="22"/>
          <w:szCs w:val="22"/>
        </w:rPr>
      </w:pPr>
      <w:r w:rsidRPr="0097156C">
        <w:rPr>
          <w:b/>
          <w:sz w:val="22"/>
          <w:szCs w:val="22"/>
        </w:rPr>
        <w:t xml:space="preserve">Názov predmetu zákazky: </w:t>
      </w:r>
      <w:r w:rsidR="00B0463B">
        <w:rPr>
          <w:b/>
          <w:sz w:val="22"/>
          <w:szCs w:val="22"/>
        </w:rPr>
        <w:t>Preventívna údržba plynového chromatografu GC MS</w:t>
      </w:r>
    </w:p>
    <w:p w14:paraId="348460D3" w14:textId="77777777" w:rsidR="00E30152" w:rsidRPr="0097156C" w:rsidRDefault="00E30152" w:rsidP="00E30152">
      <w:pPr>
        <w:pStyle w:val="Odsekzoznamu"/>
        <w:jc w:val="both"/>
        <w:rPr>
          <w:sz w:val="22"/>
          <w:szCs w:val="22"/>
        </w:rPr>
      </w:pPr>
    </w:p>
    <w:p w14:paraId="5A06D7A6" w14:textId="3768FF00" w:rsidR="005A04D8" w:rsidRPr="0097156C" w:rsidRDefault="00B53825" w:rsidP="00F57D22">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9800AF" w:rsidRPr="0097156C">
        <w:rPr>
          <w:b/>
          <w:sz w:val="22"/>
          <w:szCs w:val="22"/>
          <w:lang w:bidi="sk-SK"/>
        </w:rPr>
        <w:t xml:space="preserve">Preventívna údržba </w:t>
      </w:r>
      <w:r w:rsidR="006E314B" w:rsidRPr="0097156C">
        <w:rPr>
          <w:b/>
          <w:sz w:val="22"/>
          <w:szCs w:val="22"/>
          <w:lang w:bidi="sk-SK"/>
        </w:rPr>
        <w:t xml:space="preserve"> </w:t>
      </w:r>
      <w:r w:rsidR="009800AF" w:rsidRPr="0097156C">
        <w:rPr>
          <w:b/>
          <w:sz w:val="22"/>
          <w:szCs w:val="22"/>
          <w:lang w:bidi="sk-SK"/>
        </w:rPr>
        <w:t>plynové</w:t>
      </w:r>
      <w:r w:rsidR="006E314B" w:rsidRPr="0097156C">
        <w:rPr>
          <w:b/>
          <w:sz w:val="22"/>
          <w:szCs w:val="22"/>
          <w:lang w:bidi="sk-SK"/>
        </w:rPr>
        <w:t>h</w:t>
      </w:r>
      <w:r w:rsidR="009800AF" w:rsidRPr="0097156C">
        <w:rPr>
          <w:b/>
          <w:sz w:val="22"/>
          <w:szCs w:val="22"/>
          <w:lang w:bidi="sk-SK"/>
        </w:rPr>
        <w:t xml:space="preserve">o </w:t>
      </w:r>
      <w:r w:rsidR="006E314B" w:rsidRPr="0097156C">
        <w:rPr>
          <w:b/>
          <w:sz w:val="22"/>
          <w:szCs w:val="22"/>
          <w:lang w:bidi="sk-SK"/>
        </w:rPr>
        <w:t xml:space="preserve"> chromatogra</w:t>
      </w:r>
      <w:r w:rsidR="00B0463B">
        <w:rPr>
          <w:b/>
          <w:sz w:val="22"/>
          <w:szCs w:val="22"/>
          <w:lang w:bidi="sk-SK"/>
        </w:rPr>
        <w:t>fu</w:t>
      </w:r>
      <w:r w:rsidR="006E314B" w:rsidRPr="0097156C">
        <w:rPr>
          <w:b/>
          <w:sz w:val="22"/>
          <w:szCs w:val="22"/>
          <w:lang w:bidi="sk-SK"/>
        </w:rPr>
        <w:t xml:space="preserve"> GC MS</w:t>
      </w:r>
      <w:r w:rsidR="00131A0A" w:rsidRPr="0097156C">
        <w:rPr>
          <w:sz w:val="22"/>
          <w:szCs w:val="22"/>
          <w:lang w:bidi="sk-SK"/>
        </w:rPr>
        <w:t xml:space="preserve"> pre potreby </w:t>
      </w:r>
      <w:r w:rsidR="00E16B59" w:rsidRPr="0097156C">
        <w:rPr>
          <w:sz w:val="22"/>
          <w:szCs w:val="22"/>
          <w:lang w:bidi="sk-SK"/>
        </w:rPr>
        <w:t xml:space="preserve">KCHL CO Nitra  </w:t>
      </w:r>
      <w:r w:rsidR="00140FFB" w:rsidRPr="0097156C">
        <w:rPr>
          <w:sz w:val="22"/>
          <w:szCs w:val="22"/>
          <w:lang w:bidi="sk-SK"/>
        </w:rPr>
        <w:t xml:space="preserve">v  pôsobnosti Centra podpory </w:t>
      </w:r>
      <w:r w:rsidR="00406E1D" w:rsidRPr="0097156C">
        <w:rPr>
          <w:sz w:val="22"/>
          <w:szCs w:val="22"/>
          <w:lang w:bidi="sk-SK"/>
        </w:rPr>
        <w:t>Nitra</w:t>
      </w:r>
    </w:p>
    <w:p w14:paraId="09EBDF0D" w14:textId="081E6F39" w:rsidR="00B53825" w:rsidRPr="0097156C"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78ADB4DA" w:rsidR="00E16B59" w:rsidRPr="0097156C" w:rsidRDefault="00E16B59" w:rsidP="00E16B59">
      <w:pPr>
        <w:pStyle w:val="Default"/>
        <w:ind w:left="720"/>
        <w:jc w:val="both"/>
        <w:rPr>
          <w:b/>
          <w:color w:val="auto"/>
          <w:sz w:val="22"/>
          <w:szCs w:val="22"/>
        </w:rPr>
      </w:pPr>
      <w:r w:rsidRPr="0097156C">
        <w:t>5041</w:t>
      </w:r>
      <w:r w:rsidR="001958F2">
        <w:t>1</w:t>
      </w:r>
      <w:r w:rsidRPr="0097156C">
        <w:t>0000-2 Opravy a údržba meracích, skúšobných a kontrolných prístrojov</w:t>
      </w:r>
      <w:r w:rsidRPr="0097156C">
        <w:rPr>
          <w:b/>
          <w:color w:val="auto"/>
          <w:sz w:val="22"/>
          <w:szCs w:val="22"/>
        </w:rPr>
        <w:t xml:space="preserve"> </w:t>
      </w: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2E8610C6" w14:textId="77777777" w:rsidR="006E314B" w:rsidRPr="0097156C" w:rsidRDefault="006E314B" w:rsidP="006E314B">
      <w:pPr>
        <w:jc w:val="both"/>
        <w:rPr>
          <w:b/>
          <w:highlight w:val="yellow"/>
        </w:rPr>
      </w:pPr>
      <w:r w:rsidRPr="0097156C">
        <w:rPr>
          <w:highlight w:val="yellow"/>
        </w:rPr>
        <w:t xml:space="preserve">  </w:t>
      </w:r>
    </w:p>
    <w:p w14:paraId="683E389F" w14:textId="77777777" w:rsidR="006E314B" w:rsidRPr="0097156C" w:rsidRDefault="006E314B" w:rsidP="006E314B">
      <w:pPr>
        <w:jc w:val="both"/>
        <w:rPr>
          <w:i/>
          <w:u w:val="single"/>
        </w:rPr>
      </w:pPr>
      <w:r w:rsidRPr="0097156C">
        <w:rPr>
          <w:i/>
          <w:u w:val="single"/>
        </w:rPr>
        <w:t>Informácie týkajúce sa zákazky:</w:t>
      </w:r>
    </w:p>
    <w:p w14:paraId="360F0A8C" w14:textId="5D13D422" w:rsidR="006E314B" w:rsidRPr="0097156C" w:rsidRDefault="006E314B" w:rsidP="0097156C">
      <w:pPr>
        <w:pStyle w:val="Odsekzoznamu"/>
        <w:numPr>
          <w:ilvl w:val="0"/>
          <w:numId w:val="56"/>
        </w:numPr>
        <w:jc w:val="both"/>
        <w:rPr>
          <w:b/>
        </w:rPr>
      </w:pPr>
      <w:r w:rsidRPr="0097156C">
        <w:t>cenová ponuka ostáva v platnosti počas celého obdoba plnenia zákazky, t.j. do vyčerpania limitu, najdlhšie však do 31.8.2023 a budú v nej zahrnuté všetky náklady vrátane obalu, dopravy, cla, dovoznej prirážky, poštovného a pod., t.j. cena musí byť konečná bez ďalších nákladov;</w:t>
      </w:r>
    </w:p>
    <w:p w14:paraId="7073530E" w14:textId="77777777" w:rsidR="0097156C" w:rsidRPr="00ED3ACD" w:rsidRDefault="0097156C" w:rsidP="00ED3ACD">
      <w:pPr>
        <w:jc w:val="both"/>
        <w:rPr>
          <w:b/>
        </w:rPr>
      </w:pPr>
    </w:p>
    <w:p w14:paraId="7CCFF191" w14:textId="1E8CFF98" w:rsidR="006E314B" w:rsidRPr="0097156C" w:rsidRDefault="006E314B" w:rsidP="0097156C">
      <w:pPr>
        <w:pStyle w:val="Odsekzoznamu"/>
        <w:numPr>
          <w:ilvl w:val="0"/>
          <w:numId w:val="56"/>
        </w:numPr>
        <w:jc w:val="both"/>
        <w:rPr>
          <w:b/>
        </w:rPr>
      </w:pPr>
      <w:r w:rsidRPr="0097156C">
        <w:t>uchádzač, ktorý predloží svoju ponuku nemá žiadny nárok na úhradu nákladov, ktoré mu vznikli s prípravou a doručením ponuky;</w:t>
      </w:r>
    </w:p>
    <w:p w14:paraId="13463AAC" w14:textId="77777777" w:rsidR="0097156C" w:rsidRPr="0097156C" w:rsidRDefault="0097156C" w:rsidP="0097156C">
      <w:pPr>
        <w:pStyle w:val="Odsekzoznamu"/>
        <w:jc w:val="both"/>
        <w:rPr>
          <w:b/>
        </w:rPr>
      </w:pPr>
    </w:p>
    <w:p w14:paraId="50735511" w14:textId="31253BD4" w:rsidR="006E314B" w:rsidRPr="0097156C" w:rsidRDefault="006E314B" w:rsidP="0097156C">
      <w:pPr>
        <w:pStyle w:val="Odsekzoznamu"/>
        <w:numPr>
          <w:ilvl w:val="0"/>
          <w:numId w:val="56"/>
        </w:numPr>
        <w:jc w:val="both"/>
        <w:rPr>
          <w:b/>
        </w:rPr>
      </w:pPr>
      <w:r w:rsidRPr="0097156C">
        <w:t>predmet zákazky bude financovaný z rozpočtových prostriedkov verejného obstarávateľa; spôsob úhrady len cez faktúru s minimálnou 14 dňovou dobou splatnosti; preddavok ani zálohová platba sa neposkytuje; úhrada za predmet zákazky bude realizovaná formou bezhotovostného platobného styku na základe v</w:t>
      </w:r>
      <w:r w:rsidR="009800AF" w:rsidRPr="0097156C">
        <w:t>ystavenej objednávky po dodaní  predmetu zákazky</w:t>
      </w:r>
      <w:r w:rsidRPr="0097156C">
        <w:t xml:space="preserve">. </w:t>
      </w:r>
    </w:p>
    <w:p w14:paraId="4DAD7883" w14:textId="77777777" w:rsidR="0097156C" w:rsidRPr="0097156C" w:rsidRDefault="0097156C" w:rsidP="0097156C">
      <w:pPr>
        <w:pStyle w:val="Odsekzoznamu"/>
        <w:jc w:val="both"/>
        <w:rPr>
          <w:b/>
        </w:rPr>
      </w:pPr>
    </w:p>
    <w:p w14:paraId="73933DB9" w14:textId="45996422" w:rsidR="006E314B" w:rsidRPr="0097156C" w:rsidRDefault="006E314B" w:rsidP="0097156C">
      <w:pPr>
        <w:pStyle w:val="Odsekzoznamu"/>
        <w:numPr>
          <w:ilvl w:val="0"/>
          <w:numId w:val="56"/>
        </w:numPr>
        <w:jc w:val="both"/>
        <w:rPr>
          <w:b/>
        </w:rPr>
      </w:pPr>
      <w:r w:rsidRPr="0097156C">
        <w:t>každá položka musí byť ocenená bez DPH. Ak nie ste platcom DPH, túto skutočnosť uveďte v cenovej ponuke;</w:t>
      </w:r>
    </w:p>
    <w:p w14:paraId="60FD162C" w14:textId="77777777" w:rsidR="0097156C" w:rsidRPr="0097156C" w:rsidRDefault="0097156C" w:rsidP="0097156C">
      <w:pPr>
        <w:pStyle w:val="Odsekzoznamu"/>
        <w:jc w:val="both"/>
        <w:rPr>
          <w:b/>
        </w:rPr>
      </w:pPr>
    </w:p>
    <w:p w14:paraId="72B3C629" w14:textId="5678C3F6" w:rsidR="006E314B" w:rsidRPr="0097156C" w:rsidRDefault="006E314B" w:rsidP="0097156C">
      <w:pPr>
        <w:pStyle w:val="Odsekzoznamu"/>
        <w:numPr>
          <w:ilvl w:val="0"/>
          <w:numId w:val="56"/>
        </w:numPr>
        <w:jc w:val="both"/>
        <w:rPr>
          <w:b/>
        </w:rPr>
      </w:pPr>
      <w:r w:rsidRPr="0097156C">
        <w:t>verejný obstarávateľ požaduje predložiť súhlas so spracovaním osobných údajov</w:t>
      </w:r>
      <w:r w:rsidR="009800AF" w:rsidRPr="0097156C">
        <w:t>(príloha č. 1)</w:t>
      </w:r>
      <w:r w:rsidRPr="0097156C">
        <w:t xml:space="preserve"> a čestné vyhlásenie</w:t>
      </w:r>
      <w:r w:rsidR="009800AF" w:rsidRPr="0097156C">
        <w:t xml:space="preserve"> o nezákaze (príloha č. 2)</w:t>
      </w:r>
      <w:r w:rsidRPr="0097156C">
        <w:t>, ktoré sú súčasťou tejto výzvy;</w:t>
      </w:r>
    </w:p>
    <w:p w14:paraId="410A5FE4" w14:textId="77777777" w:rsidR="0097156C" w:rsidRPr="0097156C" w:rsidRDefault="0097156C" w:rsidP="0097156C">
      <w:pPr>
        <w:pStyle w:val="Odsekzoznamu"/>
        <w:rPr>
          <w:b/>
        </w:rPr>
      </w:pPr>
    </w:p>
    <w:p w14:paraId="75C5F8B8" w14:textId="132C1534" w:rsidR="006E314B" w:rsidRDefault="006E314B" w:rsidP="0097156C">
      <w:pPr>
        <w:pStyle w:val="Odsekzoznamu"/>
        <w:numPr>
          <w:ilvl w:val="0"/>
          <w:numId w:val="56"/>
        </w:numPr>
        <w:jc w:val="both"/>
      </w:pPr>
      <w:r w:rsidRPr="0097156C">
        <w:t>verejný obstarávateľ nepožaduje predloženie originálu, alebo úradne overenej kópie vyššie uvedených dokladov;</w:t>
      </w:r>
    </w:p>
    <w:p w14:paraId="4DAA8BA5" w14:textId="77777777" w:rsidR="0097156C" w:rsidRDefault="0097156C" w:rsidP="0097156C">
      <w:pPr>
        <w:pStyle w:val="Odsekzoznamu"/>
        <w:jc w:val="both"/>
      </w:pPr>
    </w:p>
    <w:p w14:paraId="72ACB375" w14:textId="36831508" w:rsidR="0097156C" w:rsidRDefault="0097156C" w:rsidP="0097156C">
      <w:pPr>
        <w:pStyle w:val="Odsekzoznamu"/>
        <w:numPr>
          <w:ilvl w:val="0"/>
          <w:numId w:val="56"/>
        </w:numPr>
        <w:jc w:val="both"/>
      </w:pPr>
      <w:r>
        <w:t>v prípade, že uchádzač dispo</w:t>
      </w:r>
      <w:r w:rsidR="009405A8">
        <w:t xml:space="preserve">nuje dokladom o výhradnom práve alebo autorskom práve, </w:t>
      </w:r>
      <w:r>
        <w:t xml:space="preserve"> v prípade ak predmet zákazky je oprávnený dodať, uskutočniť resp. poskytnúť len určitý hospodársky subjekt</w:t>
      </w:r>
      <w:r w:rsidR="009405A8">
        <w:t>.</w:t>
      </w:r>
      <w:bookmarkStart w:id="0" w:name="_GoBack"/>
      <w:bookmarkEnd w:id="0"/>
    </w:p>
    <w:p w14:paraId="22BC14BB" w14:textId="77777777" w:rsidR="0097156C" w:rsidRDefault="0097156C" w:rsidP="0097156C">
      <w:pPr>
        <w:pStyle w:val="Odsekzoznamu"/>
        <w:jc w:val="both"/>
      </w:pPr>
    </w:p>
    <w:p w14:paraId="46E3A55A" w14:textId="75535E71" w:rsidR="006E314B" w:rsidRDefault="006E314B" w:rsidP="0097156C">
      <w:pPr>
        <w:pStyle w:val="Odsekzoznamu"/>
        <w:numPr>
          <w:ilvl w:val="0"/>
          <w:numId w:val="56"/>
        </w:numPr>
        <w:jc w:val="both"/>
      </w:pPr>
      <w:r w:rsidRPr="0097156C">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p>
    <w:p w14:paraId="35C9B330" w14:textId="77777777" w:rsidR="0097156C" w:rsidRPr="0097156C" w:rsidRDefault="0097156C" w:rsidP="006E314B">
      <w:pPr>
        <w:jc w:val="both"/>
        <w:rPr>
          <w:b/>
        </w:rPr>
      </w:pPr>
    </w:p>
    <w:p w14:paraId="01E223D5" w14:textId="77777777" w:rsidR="006E314B" w:rsidRPr="0097156C" w:rsidRDefault="006E314B" w:rsidP="006E314B">
      <w:pPr>
        <w:pStyle w:val="Default"/>
        <w:ind w:left="720"/>
        <w:jc w:val="both"/>
        <w:rPr>
          <w:color w:val="auto"/>
          <w:sz w:val="22"/>
          <w:szCs w:val="22"/>
        </w:rPr>
      </w:pPr>
    </w:p>
    <w:p w14:paraId="6AD13A6C" w14:textId="2D882AFA" w:rsidR="00F57D22" w:rsidRPr="0097156C" w:rsidRDefault="00F57D22" w:rsidP="00F57D22">
      <w:pPr>
        <w:pStyle w:val="Odsekzoznamu"/>
        <w:numPr>
          <w:ilvl w:val="0"/>
          <w:numId w:val="52"/>
        </w:numPr>
        <w:jc w:val="both"/>
        <w:rPr>
          <w:sz w:val="22"/>
          <w:szCs w:val="22"/>
        </w:rPr>
      </w:pPr>
      <w:r w:rsidRPr="0097156C">
        <w:rPr>
          <w:b/>
          <w:sz w:val="22"/>
          <w:szCs w:val="22"/>
        </w:rPr>
        <w:t>Lehota plnenia je:</w:t>
      </w:r>
      <w:r w:rsidRPr="0097156C">
        <w:rPr>
          <w:sz w:val="22"/>
          <w:szCs w:val="22"/>
        </w:rPr>
        <w:t xml:space="preserve"> </w:t>
      </w:r>
    </w:p>
    <w:p w14:paraId="5CEA2038" w14:textId="5FF575C7" w:rsidR="00F57D22" w:rsidRPr="0097156C" w:rsidRDefault="00F57D22" w:rsidP="00F57D22">
      <w:pPr>
        <w:pStyle w:val="Default"/>
        <w:ind w:left="720"/>
        <w:jc w:val="both"/>
        <w:rPr>
          <w:color w:val="auto"/>
          <w:sz w:val="22"/>
          <w:szCs w:val="22"/>
        </w:rPr>
      </w:pPr>
      <w:r w:rsidRPr="0097156C">
        <w:rPr>
          <w:rFonts w:eastAsiaTheme="minorHAnsi"/>
          <w:color w:val="000000" w:themeColor="text1"/>
          <w:sz w:val="22"/>
          <w:shd w:val="clear" w:color="auto" w:fill="FFFFFF"/>
        </w:rPr>
        <w:t xml:space="preserve">- </w:t>
      </w:r>
      <w:r w:rsidRPr="0097156C">
        <w:rPr>
          <w:color w:val="auto"/>
          <w:sz w:val="22"/>
          <w:szCs w:val="22"/>
        </w:rPr>
        <w:t xml:space="preserve"> do </w:t>
      </w:r>
      <w:r w:rsidR="009256F8" w:rsidRPr="0097156C">
        <w:rPr>
          <w:color w:val="auto"/>
          <w:sz w:val="22"/>
          <w:szCs w:val="22"/>
        </w:rPr>
        <w:t>30</w:t>
      </w:r>
      <w:r w:rsidRPr="0097156C">
        <w:rPr>
          <w:color w:val="auto"/>
          <w:sz w:val="22"/>
          <w:szCs w:val="22"/>
        </w:rPr>
        <w:t xml:space="preserve"> dní od dňa </w:t>
      </w:r>
      <w:r w:rsidR="009256F8" w:rsidRPr="0097156C">
        <w:rPr>
          <w:color w:val="auto"/>
          <w:sz w:val="22"/>
          <w:szCs w:val="22"/>
        </w:rPr>
        <w:t xml:space="preserve">zaslania záväznej objednávky </w:t>
      </w:r>
      <w:r w:rsidRPr="0097156C">
        <w:rPr>
          <w:color w:val="auto"/>
          <w:sz w:val="22"/>
          <w:szCs w:val="22"/>
        </w:rPr>
        <w:t xml:space="preserve">avšak najneskôr do </w:t>
      </w:r>
      <w:r w:rsidR="00E30152" w:rsidRPr="0097156C">
        <w:rPr>
          <w:color w:val="auto"/>
          <w:sz w:val="22"/>
          <w:szCs w:val="22"/>
        </w:rPr>
        <w:t>31</w:t>
      </w:r>
      <w:r w:rsidR="00406E1D" w:rsidRPr="0097156C">
        <w:rPr>
          <w:color w:val="auto"/>
          <w:sz w:val="22"/>
          <w:szCs w:val="22"/>
        </w:rPr>
        <w:t>.8.2023</w:t>
      </w:r>
    </w:p>
    <w:p w14:paraId="0BF39025" w14:textId="5B7D7B17" w:rsidR="00F57D22" w:rsidRPr="0097156C" w:rsidRDefault="00F57D22" w:rsidP="00F57D22">
      <w:pPr>
        <w:pStyle w:val="Odsekzoznamu"/>
        <w:ind w:left="0"/>
        <w:rPr>
          <w:rFonts w:eastAsiaTheme="minorHAnsi"/>
          <w:color w:val="000000" w:themeColor="text1"/>
          <w:sz w:val="22"/>
          <w:shd w:val="clear" w:color="auto" w:fill="FFFFFF"/>
        </w:rPr>
      </w:pPr>
    </w:p>
    <w:p w14:paraId="7923150F" w14:textId="7775E6C6" w:rsidR="00B53825" w:rsidRPr="0097156C" w:rsidRDefault="00B53825" w:rsidP="001E6429">
      <w:pPr>
        <w:pStyle w:val="Odsekzoznamu"/>
        <w:numPr>
          <w:ilvl w:val="0"/>
          <w:numId w:val="52"/>
        </w:numPr>
        <w:jc w:val="both"/>
        <w:rPr>
          <w:b/>
          <w:sz w:val="22"/>
          <w:szCs w:val="22"/>
        </w:rPr>
      </w:pPr>
      <w:r w:rsidRPr="0097156C">
        <w:rPr>
          <w:b/>
          <w:sz w:val="22"/>
          <w:szCs w:val="22"/>
        </w:rPr>
        <w:lastRenderedPageBreak/>
        <w:t>Miesto</w:t>
      </w:r>
      <w:r w:rsidR="00F57D22" w:rsidRPr="0097156C">
        <w:rPr>
          <w:b/>
          <w:sz w:val="22"/>
          <w:szCs w:val="22"/>
        </w:rPr>
        <w:t>m</w:t>
      </w:r>
      <w:r w:rsidRPr="0097156C">
        <w:rPr>
          <w:b/>
          <w:sz w:val="22"/>
          <w:szCs w:val="22"/>
        </w:rPr>
        <w:t xml:space="preserve"> dodania </w:t>
      </w:r>
      <w:r w:rsidR="00F57D22" w:rsidRPr="0097156C">
        <w:rPr>
          <w:b/>
          <w:sz w:val="22"/>
          <w:szCs w:val="22"/>
        </w:rPr>
        <w:t>je</w:t>
      </w:r>
      <w:r w:rsidRPr="0097156C">
        <w:rPr>
          <w:b/>
          <w:sz w:val="22"/>
          <w:szCs w:val="22"/>
        </w:rPr>
        <w:t xml:space="preserve">: </w:t>
      </w:r>
    </w:p>
    <w:p w14:paraId="5EC11CC0" w14:textId="2785D655" w:rsidR="00380BE6" w:rsidRPr="0097156C" w:rsidRDefault="002553DA" w:rsidP="006E314B">
      <w:pPr>
        <w:jc w:val="both"/>
        <w:rPr>
          <w:bCs/>
          <w:sz w:val="22"/>
          <w:szCs w:val="22"/>
        </w:rPr>
      </w:pPr>
      <w:r w:rsidRPr="0097156C">
        <w:rPr>
          <w:b/>
          <w:sz w:val="22"/>
          <w:szCs w:val="22"/>
        </w:rPr>
        <w:t xml:space="preserve">              </w:t>
      </w:r>
      <w:r w:rsidR="00380BE6" w:rsidRPr="0097156C">
        <w:rPr>
          <w:sz w:val="22"/>
          <w:szCs w:val="22"/>
        </w:rPr>
        <w:t xml:space="preserve">Ministerstvo vnútra Slovenskej republiky, </w:t>
      </w:r>
      <w:r w:rsidR="006E314B" w:rsidRPr="0097156C">
        <w:rPr>
          <w:bCs/>
          <w:sz w:val="22"/>
          <w:szCs w:val="22"/>
        </w:rPr>
        <w:t>KCHL CO Nitra, Plynárenská 25, 949 01 Nitra</w:t>
      </w:r>
    </w:p>
    <w:p w14:paraId="7AAFDBBA" w14:textId="77777777" w:rsidR="006E314B" w:rsidRPr="0097156C" w:rsidRDefault="006E314B" w:rsidP="006E314B">
      <w:pPr>
        <w:jc w:val="both"/>
        <w:rPr>
          <w:sz w:val="22"/>
          <w:szCs w:val="22"/>
        </w:rPr>
      </w:pPr>
    </w:p>
    <w:p w14:paraId="633BECF6" w14:textId="77777777" w:rsidR="00B53825" w:rsidRPr="0097156C" w:rsidRDefault="00B53825" w:rsidP="001E6429">
      <w:pPr>
        <w:pStyle w:val="Odsekzoznamu"/>
        <w:numPr>
          <w:ilvl w:val="0"/>
          <w:numId w:val="52"/>
        </w:numPr>
        <w:jc w:val="both"/>
        <w:rPr>
          <w:sz w:val="22"/>
          <w:szCs w:val="22"/>
        </w:rPr>
      </w:pPr>
      <w:r w:rsidRPr="0097156C">
        <w:rPr>
          <w:b/>
          <w:sz w:val="22"/>
          <w:szCs w:val="22"/>
        </w:rPr>
        <w:t>Technická  špecifikácia predmetu zákazky:</w:t>
      </w:r>
    </w:p>
    <w:p w14:paraId="0CFE78FB" w14:textId="6AA11BFD" w:rsidR="00B53825" w:rsidRPr="0097156C" w:rsidRDefault="00EB59F8" w:rsidP="00DA1A9F">
      <w:pPr>
        <w:autoSpaceDE w:val="0"/>
        <w:autoSpaceDN w:val="0"/>
        <w:adjustRightInd w:val="0"/>
        <w:spacing w:before="120" w:after="120"/>
        <w:ind w:left="709"/>
        <w:jc w:val="both"/>
        <w:rPr>
          <w:sz w:val="22"/>
          <w:szCs w:val="22"/>
        </w:rPr>
      </w:pPr>
      <w:r w:rsidRPr="0097156C">
        <w:rPr>
          <w:sz w:val="22"/>
          <w:szCs w:val="22"/>
        </w:rPr>
        <w:t xml:space="preserve">Všetky </w:t>
      </w:r>
      <w:r w:rsidR="00F57D22" w:rsidRPr="0097156C">
        <w:rPr>
          <w:sz w:val="22"/>
          <w:szCs w:val="22"/>
        </w:rPr>
        <w:t>technické</w:t>
      </w:r>
      <w:r w:rsidRPr="0097156C">
        <w:rPr>
          <w:sz w:val="22"/>
          <w:szCs w:val="22"/>
        </w:rPr>
        <w:t xml:space="preserve"> </w:t>
      </w:r>
      <w:r w:rsidR="00B53825" w:rsidRPr="0097156C">
        <w:rPr>
          <w:sz w:val="22"/>
          <w:szCs w:val="22"/>
        </w:rPr>
        <w:t>parametre/funkcionality, resp. vlastnosti požadovaného predmetu zákazky uvedené v tabu</w:t>
      </w:r>
      <w:r w:rsidR="00F37729" w:rsidRPr="0097156C">
        <w:rPr>
          <w:sz w:val="22"/>
          <w:szCs w:val="22"/>
        </w:rPr>
        <w:t xml:space="preserve">ľke nižšie predstavujú </w:t>
      </w:r>
      <w:r w:rsidR="00F57D22" w:rsidRPr="0097156C">
        <w:rPr>
          <w:sz w:val="22"/>
          <w:szCs w:val="22"/>
        </w:rPr>
        <w:t xml:space="preserve">minimálne </w:t>
      </w:r>
      <w:r w:rsidR="00F37729" w:rsidRPr="0097156C">
        <w:rPr>
          <w:sz w:val="22"/>
          <w:szCs w:val="22"/>
        </w:rPr>
        <w:t>požiadavk</w:t>
      </w:r>
      <w:r w:rsidR="00F57D22" w:rsidRPr="0097156C">
        <w:rPr>
          <w:sz w:val="22"/>
          <w:szCs w:val="22"/>
        </w:rPr>
        <w:t xml:space="preserve">y, ktoré </w:t>
      </w:r>
      <w:r w:rsidR="00B53825" w:rsidRPr="0097156C">
        <w:rPr>
          <w:sz w:val="22"/>
          <w:szCs w:val="22"/>
        </w:rPr>
        <w:t>musia byť splnené vo vl</w:t>
      </w:r>
      <w:r w:rsidR="002B2868" w:rsidRPr="0097156C">
        <w:rPr>
          <w:sz w:val="22"/>
          <w:szCs w:val="22"/>
        </w:rPr>
        <w:t>astnom návrhu plnenia uchádzača.</w:t>
      </w:r>
    </w:p>
    <w:p w14:paraId="44418852" w14:textId="77777777" w:rsidR="001E611D" w:rsidRPr="0097156C" w:rsidRDefault="001E611D" w:rsidP="0097156C">
      <w:pPr>
        <w:jc w:val="both"/>
        <w:rPr>
          <w:sz w:val="22"/>
          <w:szCs w:val="22"/>
        </w:rPr>
      </w:pPr>
    </w:p>
    <w:p w14:paraId="7B6DF377" w14:textId="7FA73FC4" w:rsidR="004E0F8D" w:rsidRPr="0097156C" w:rsidRDefault="004E0F8D"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902"/>
        <w:gridCol w:w="885"/>
        <w:gridCol w:w="947"/>
        <w:gridCol w:w="1118"/>
        <w:gridCol w:w="1178"/>
      </w:tblGrid>
      <w:tr w:rsidR="00DD3B7B" w:rsidRPr="0097156C" w14:paraId="225D10AF" w14:textId="77777777" w:rsidTr="00DD3B7B">
        <w:tc>
          <w:tcPr>
            <w:tcW w:w="597" w:type="dxa"/>
          </w:tcPr>
          <w:p w14:paraId="09FBD30B" w14:textId="61BE443E" w:rsidR="00DD3B7B" w:rsidRPr="0097156C" w:rsidRDefault="00DD3B7B" w:rsidP="00917977">
            <w:r w:rsidRPr="0097156C">
              <w:t>Pol. č.</w:t>
            </w:r>
          </w:p>
        </w:tc>
        <w:tc>
          <w:tcPr>
            <w:tcW w:w="4902" w:type="dxa"/>
            <w:shd w:val="clear" w:color="auto" w:fill="auto"/>
          </w:tcPr>
          <w:p w14:paraId="347C4E82" w14:textId="59BB8576" w:rsidR="00DD3B7B" w:rsidRPr="0097156C" w:rsidRDefault="00DD3B7B" w:rsidP="00917977">
            <w:r w:rsidRPr="0097156C">
              <w:t>Názov/popis položky</w:t>
            </w:r>
          </w:p>
        </w:tc>
        <w:tc>
          <w:tcPr>
            <w:tcW w:w="885" w:type="dxa"/>
            <w:shd w:val="clear" w:color="auto" w:fill="auto"/>
          </w:tcPr>
          <w:p w14:paraId="1FDCB170" w14:textId="77777777" w:rsidR="00DD3B7B" w:rsidRPr="0097156C" w:rsidRDefault="00DD3B7B" w:rsidP="00917977">
            <w:r w:rsidRPr="0097156C">
              <w:t>Počet MJ</w:t>
            </w:r>
          </w:p>
        </w:tc>
        <w:tc>
          <w:tcPr>
            <w:tcW w:w="947" w:type="dxa"/>
            <w:shd w:val="clear" w:color="auto" w:fill="auto"/>
          </w:tcPr>
          <w:p w14:paraId="708FD1DA" w14:textId="77777777" w:rsidR="00DD3B7B" w:rsidRPr="0097156C" w:rsidRDefault="00DD3B7B" w:rsidP="00917977">
            <w:r w:rsidRPr="0097156C">
              <w:t>Cena za MJ bez DPH</w:t>
            </w:r>
          </w:p>
        </w:tc>
        <w:tc>
          <w:tcPr>
            <w:tcW w:w="1118" w:type="dxa"/>
            <w:shd w:val="clear" w:color="auto" w:fill="auto"/>
          </w:tcPr>
          <w:p w14:paraId="587292ED" w14:textId="77777777" w:rsidR="00DD3B7B" w:rsidRPr="0097156C" w:rsidRDefault="00DD3B7B" w:rsidP="00917977">
            <w:r w:rsidRPr="0097156C">
              <w:t xml:space="preserve"> Cena spolu bez DPH</w:t>
            </w:r>
          </w:p>
        </w:tc>
        <w:tc>
          <w:tcPr>
            <w:tcW w:w="1178" w:type="dxa"/>
            <w:shd w:val="clear" w:color="auto" w:fill="auto"/>
          </w:tcPr>
          <w:p w14:paraId="3E7B7C51" w14:textId="77777777" w:rsidR="00DD3B7B" w:rsidRPr="0097156C" w:rsidRDefault="00DD3B7B" w:rsidP="00917977">
            <w:r w:rsidRPr="0097156C">
              <w:t>Cena spolu s DPH</w:t>
            </w:r>
          </w:p>
        </w:tc>
      </w:tr>
      <w:tr w:rsidR="00DD3B7B" w:rsidRPr="0097156C" w14:paraId="2F365BC7" w14:textId="77777777" w:rsidTr="00DD3B7B">
        <w:tc>
          <w:tcPr>
            <w:tcW w:w="597" w:type="dxa"/>
          </w:tcPr>
          <w:p w14:paraId="3CDD4CB8" w14:textId="5B4CF103" w:rsidR="00DD3B7B" w:rsidRPr="0097156C" w:rsidRDefault="00DD3B7B" w:rsidP="00917977">
            <w:r w:rsidRPr="0097156C">
              <w:t>1</w:t>
            </w:r>
          </w:p>
        </w:tc>
        <w:tc>
          <w:tcPr>
            <w:tcW w:w="4902" w:type="dxa"/>
            <w:shd w:val="clear" w:color="auto" w:fill="auto"/>
          </w:tcPr>
          <w:p w14:paraId="79095617" w14:textId="1CDBF1F0" w:rsidR="00DD3B7B" w:rsidRPr="0097156C" w:rsidRDefault="00DD3B7B" w:rsidP="00917977">
            <w:r w:rsidRPr="0097156C">
              <w:t>Spojka flexibilná inertná UM malá</w:t>
            </w:r>
          </w:p>
        </w:tc>
        <w:tc>
          <w:tcPr>
            <w:tcW w:w="885" w:type="dxa"/>
            <w:shd w:val="clear" w:color="auto" w:fill="auto"/>
          </w:tcPr>
          <w:p w14:paraId="7638A398" w14:textId="13F427B6" w:rsidR="00DD3B7B" w:rsidRPr="0097156C" w:rsidRDefault="00DD3B7B" w:rsidP="00917977">
            <w:r w:rsidRPr="0097156C">
              <w:t>1 bal</w:t>
            </w:r>
          </w:p>
        </w:tc>
        <w:tc>
          <w:tcPr>
            <w:tcW w:w="947" w:type="dxa"/>
            <w:shd w:val="clear" w:color="auto" w:fill="auto"/>
          </w:tcPr>
          <w:p w14:paraId="75E8E624" w14:textId="77777777" w:rsidR="00DD3B7B" w:rsidRPr="0097156C" w:rsidRDefault="00DD3B7B" w:rsidP="00917977"/>
        </w:tc>
        <w:tc>
          <w:tcPr>
            <w:tcW w:w="1118" w:type="dxa"/>
            <w:shd w:val="clear" w:color="auto" w:fill="auto"/>
          </w:tcPr>
          <w:p w14:paraId="02D1F0E3" w14:textId="77777777" w:rsidR="00DD3B7B" w:rsidRPr="0097156C" w:rsidRDefault="00DD3B7B" w:rsidP="00917977"/>
        </w:tc>
        <w:tc>
          <w:tcPr>
            <w:tcW w:w="1178" w:type="dxa"/>
            <w:shd w:val="clear" w:color="auto" w:fill="auto"/>
          </w:tcPr>
          <w:p w14:paraId="4B12E70B" w14:textId="77777777" w:rsidR="00DD3B7B" w:rsidRPr="0097156C" w:rsidRDefault="00DD3B7B" w:rsidP="00917977"/>
        </w:tc>
      </w:tr>
      <w:tr w:rsidR="00DD3B7B" w:rsidRPr="0097156C" w14:paraId="3776B460" w14:textId="77777777" w:rsidTr="00DD3B7B">
        <w:tc>
          <w:tcPr>
            <w:tcW w:w="597" w:type="dxa"/>
          </w:tcPr>
          <w:p w14:paraId="56BDFEA0" w14:textId="31C6EEE9" w:rsidR="00DD3B7B" w:rsidRPr="0097156C" w:rsidRDefault="00DD3B7B" w:rsidP="00917977">
            <w:r w:rsidRPr="0097156C">
              <w:t>2</w:t>
            </w:r>
          </w:p>
        </w:tc>
        <w:tc>
          <w:tcPr>
            <w:tcW w:w="4902" w:type="dxa"/>
            <w:shd w:val="clear" w:color="auto" w:fill="auto"/>
          </w:tcPr>
          <w:p w14:paraId="536BB669" w14:textId="10D50218" w:rsidR="00DD3B7B" w:rsidRPr="0097156C" w:rsidRDefault="00DD3B7B" w:rsidP="00917977">
            <w:r w:rsidRPr="0097156C">
              <w:t>Matica kolóny</w:t>
            </w:r>
          </w:p>
        </w:tc>
        <w:tc>
          <w:tcPr>
            <w:tcW w:w="885" w:type="dxa"/>
            <w:shd w:val="clear" w:color="auto" w:fill="auto"/>
          </w:tcPr>
          <w:p w14:paraId="6641C12B" w14:textId="7F8DAED2" w:rsidR="00DD3B7B" w:rsidRPr="0097156C" w:rsidRDefault="00DD3B7B" w:rsidP="00917977">
            <w:r w:rsidRPr="0097156C">
              <w:t>2 ks</w:t>
            </w:r>
          </w:p>
        </w:tc>
        <w:tc>
          <w:tcPr>
            <w:tcW w:w="947" w:type="dxa"/>
            <w:shd w:val="clear" w:color="auto" w:fill="auto"/>
          </w:tcPr>
          <w:p w14:paraId="039C8576" w14:textId="77777777" w:rsidR="00DD3B7B" w:rsidRPr="0097156C" w:rsidRDefault="00DD3B7B" w:rsidP="00917977"/>
        </w:tc>
        <w:tc>
          <w:tcPr>
            <w:tcW w:w="1118" w:type="dxa"/>
            <w:shd w:val="clear" w:color="auto" w:fill="auto"/>
          </w:tcPr>
          <w:p w14:paraId="26B8B67E" w14:textId="77777777" w:rsidR="00DD3B7B" w:rsidRPr="0097156C" w:rsidRDefault="00DD3B7B" w:rsidP="00917977"/>
        </w:tc>
        <w:tc>
          <w:tcPr>
            <w:tcW w:w="1178" w:type="dxa"/>
            <w:shd w:val="clear" w:color="auto" w:fill="auto"/>
          </w:tcPr>
          <w:p w14:paraId="173DC336" w14:textId="77777777" w:rsidR="00DD3B7B" w:rsidRPr="0097156C" w:rsidRDefault="00DD3B7B" w:rsidP="00917977"/>
        </w:tc>
      </w:tr>
      <w:tr w:rsidR="00DD3B7B" w:rsidRPr="0097156C" w14:paraId="55D679EE" w14:textId="77777777" w:rsidTr="00DD3B7B">
        <w:tc>
          <w:tcPr>
            <w:tcW w:w="597" w:type="dxa"/>
          </w:tcPr>
          <w:p w14:paraId="53208D2C" w14:textId="37C82CEC" w:rsidR="00DD3B7B" w:rsidRPr="0097156C" w:rsidRDefault="00DD3B7B" w:rsidP="00917977">
            <w:r w:rsidRPr="0097156C">
              <w:t>3</w:t>
            </w:r>
          </w:p>
        </w:tc>
        <w:tc>
          <w:tcPr>
            <w:tcW w:w="4902" w:type="dxa"/>
            <w:shd w:val="clear" w:color="auto" w:fill="auto"/>
          </w:tcPr>
          <w:p w14:paraId="65C8F9C4" w14:textId="51DE2AE6" w:rsidR="00DD3B7B" w:rsidRPr="0097156C" w:rsidRDefault="00DD3B7B" w:rsidP="00917977">
            <w:r w:rsidRPr="0097156C">
              <w:t>Bezvláknová utierka</w:t>
            </w:r>
          </w:p>
        </w:tc>
        <w:tc>
          <w:tcPr>
            <w:tcW w:w="885" w:type="dxa"/>
            <w:shd w:val="clear" w:color="auto" w:fill="auto"/>
          </w:tcPr>
          <w:p w14:paraId="6A22BA7A" w14:textId="1E410F15" w:rsidR="00DD3B7B" w:rsidRPr="0097156C" w:rsidRDefault="00DD3B7B" w:rsidP="00917977">
            <w:r w:rsidRPr="0097156C">
              <w:t>1 ks</w:t>
            </w:r>
          </w:p>
        </w:tc>
        <w:tc>
          <w:tcPr>
            <w:tcW w:w="947" w:type="dxa"/>
            <w:shd w:val="clear" w:color="auto" w:fill="auto"/>
          </w:tcPr>
          <w:p w14:paraId="5158D833" w14:textId="77777777" w:rsidR="00DD3B7B" w:rsidRPr="0097156C" w:rsidRDefault="00DD3B7B" w:rsidP="00917977"/>
        </w:tc>
        <w:tc>
          <w:tcPr>
            <w:tcW w:w="1118" w:type="dxa"/>
            <w:shd w:val="clear" w:color="auto" w:fill="auto"/>
          </w:tcPr>
          <w:p w14:paraId="586AFC5C" w14:textId="77777777" w:rsidR="00DD3B7B" w:rsidRPr="0097156C" w:rsidRDefault="00DD3B7B" w:rsidP="00917977"/>
        </w:tc>
        <w:tc>
          <w:tcPr>
            <w:tcW w:w="1178" w:type="dxa"/>
            <w:shd w:val="clear" w:color="auto" w:fill="auto"/>
          </w:tcPr>
          <w:p w14:paraId="1B603B7A" w14:textId="77777777" w:rsidR="00DD3B7B" w:rsidRPr="0097156C" w:rsidRDefault="00DD3B7B" w:rsidP="00917977"/>
        </w:tc>
      </w:tr>
      <w:tr w:rsidR="00DD3B7B" w:rsidRPr="0097156C" w14:paraId="41FDF154" w14:textId="77777777" w:rsidTr="00DD3B7B">
        <w:tc>
          <w:tcPr>
            <w:tcW w:w="597" w:type="dxa"/>
          </w:tcPr>
          <w:p w14:paraId="57C08340" w14:textId="15703021" w:rsidR="00DD3B7B" w:rsidRPr="0097156C" w:rsidRDefault="00DD3B7B" w:rsidP="00917977">
            <w:r w:rsidRPr="0097156C">
              <w:t>4</w:t>
            </w:r>
          </w:p>
        </w:tc>
        <w:tc>
          <w:tcPr>
            <w:tcW w:w="4902" w:type="dxa"/>
            <w:shd w:val="clear" w:color="auto" w:fill="auto"/>
          </w:tcPr>
          <w:p w14:paraId="6EE4D55D" w14:textId="18A7DBBD" w:rsidR="00DD3B7B" w:rsidRPr="0097156C" w:rsidRDefault="00DD3B7B" w:rsidP="00917977">
            <w:r w:rsidRPr="0097156C">
              <w:t>Vložka Ul</w:t>
            </w:r>
          </w:p>
        </w:tc>
        <w:tc>
          <w:tcPr>
            <w:tcW w:w="885" w:type="dxa"/>
            <w:shd w:val="clear" w:color="auto" w:fill="auto"/>
          </w:tcPr>
          <w:p w14:paraId="5BDA569B" w14:textId="7AA5A265" w:rsidR="00DD3B7B" w:rsidRPr="0097156C" w:rsidRDefault="00DD3B7B" w:rsidP="00917977">
            <w:r w:rsidRPr="0097156C">
              <w:t>1 bal</w:t>
            </w:r>
          </w:p>
        </w:tc>
        <w:tc>
          <w:tcPr>
            <w:tcW w:w="947" w:type="dxa"/>
            <w:shd w:val="clear" w:color="auto" w:fill="auto"/>
          </w:tcPr>
          <w:p w14:paraId="62396208" w14:textId="77777777" w:rsidR="00DD3B7B" w:rsidRPr="0097156C" w:rsidRDefault="00DD3B7B" w:rsidP="00917977"/>
        </w:tc>
        <w:tc>
          <w:tcPr>
            <w:tcW w:w="1118" w:type="dxa"/>
            <w:shd w:val="clear" w:color="auto" w:fill="auto"/>
          </w:tcPr>
          <w:p w14:paraId="4E72B20F" w14:textId="77777777" w:rsidR="00DD3B7B" w:rsidRPr="0097156C" w:rsidRDefault="00DD3B7B" w:rsidP="00917977"/>
        </w:tc>
        <w:tc>
          <w:tcPr>
            <w:tcW w:w="1178" w:type="dxa"/>
            <w:shd w:val="clear" w:color="auto" w:fill="auto"/>
          </w:tcPr>
          <w:p w14:paraId="2125CB88" w14:textId="77777777" w:rsidR="00DD3B7B" w:rsidRPr="0097156C" w:rsidRDefault="00DD3B7B" w:rsidP="00917977"/>
        </w:tc>
      </w:tr>
      <w:tr w:rsidR="00DD3B7B" w:rsidRPr="0097156C" w14:paraId="4B9D18C0" w14:textId="77777777" w:rsidTr="00DD3B7B">
        <w:tc>
          <w:tcPr>
            <w:tcW w:w="597" w:type="dxa"/>
          </w:tcPr>
          <w:p w14:paraId="0A347388" w14:textId="3F53FA7F" w:rsidR="00DD3B7B" w:rsidRPr="0097156C" w:rsidRDefault="00DD3B7B" w:rsidP="00917977">
            <w:r w:rsidRPr="0097156C">
              <w:t>5</w:t>
            </w:r>
          </w:p>
        </w:tc>
        <w:tc>
          <w:tcPr>
            <w:tcW w:w="4902" w:type="dxa"/>
            <w:shd w:val="clear" w:color="auto" w:fill="auto"/>
          </w:tcPr>
          <w:p w14:paraId="3AF9726F" w14:textId="32CA0A03" w:rsidR="00DD3B7B" w:rsidRPr="0097156C" w:rsidRDefault="00DD3B7B" w:rsidP="00917977">
            <w:r w:rsidRPr="0097156C">
              <w:t>Súprava PM s deleným ventilačným uzáverom</w:t>
            </w:r>
          </w:p>
        </w:tc>
        <w:tc>
          <w:tcPr>
            <w:tcW w:w="885" w:type="dxa"/>
            <w:shd w:val="clear" w:color="auto" w:fill="auto"/>
          </w:tcPr>
          <w:p w14:paraId="0EA7E2DF" w14:textId="0BEED335" w:rsidR="00DD3B7B" w:rsidRPr="0097156C" w:rsidRDefault="00DD3B7B" w:rsidP="00917977">
            <w:r w:rsidRPr="0097156C">
              <w:t>1 ks</w:t>
            </w:r>
          </w:p>
        </w:tc>
        <w:tc>
          <w:tcPr>
            <w:tcW w:w="947" w:type="dxa"/>
            <w:shd w:val="clear" w:color="auto" w:fill="auto"/>
          </w:tcPr>
          <w:p w14:paraId="59B7309E" w14:textId="77777777" w:rsidR="00DD3B7B" w:rsidRPr="0097156C" w:rsidRDefault="00DD3B7B" w:rsidP="00917977"/>
        </w:tc>
        <w:tc>
          <w:tcPr>
            <w:tcW w:w="1118" w:type="dxa"/>
            <w:shd w:val="clear" w:color="auto" w:fill="auto"/>
          </w:tcPr>
          <w:p w14:paraId="63D112A9" w14:textId="77777777" w:rsidR="00DD3B7B" w:rsidRPr="0097156C" w:rsidRDefault="00DD3B7B" w:rsidP="00917977"/>
        </w:tc>
        <w:tc>
          <w:tcPr>
            <w:tcW w:w="1178" w:type="dxa"/>
            <w:shd w:val="clear" w:color="auto" w:fill="auto"/>
          </w:tcPr>
          <w:p w14:paraId="66C5C17F" w14:textId="77777777" w:rsidR="00DD3B7B" w:rsidRPr="0097156C" w:rsidRDefault="00DD3B7B" w:rsidP="00917977"/>
        </w:tc>
      </w:tr>
      <w:tr w:rsidR="00DD3B7B" w:rsidRPr="0097156C" w14:paraId="73B7E09F" w14:textId="77777777" w:rsidTr="00DD3B7B">
        <w:tc>
          <w:tcPr>
            <w:tcW w:w="597" w:type="dxa"/>
          </w:tcPr>
          <w:p w14:paraId="69823049" w14:textId="642961FB" w:rsidR="00DD3B7B" w:rsidRPr="0097156C" w:rsidRDefault="00DD3B7B" w:rsidP="00917977">
            <w:r w:rsidRPr="0097156C">
              <w:t>6</w:t>
            </w:r>
          </w:p>
        </w:tc>
        <w:tc>
          <w:tcPr>
            <w:tcW w:w="4902" w:type="dxa"/>
            <w:shd w:val="clear" w:color="auto" w:fill="auto"/>
          </w:tcPr>
          <w:p w14:paraId="311743CB" w14:textId="10FD3BF6" w:rsidR="00DD3B7B" w:rsidRPr="0097156C" w:rsidRDefault="00DD3B7B" w:rsidP="00917977">
            <w:r w:rsidRPr="0097156C">
              <w:t>Vysokotepelné vlákno pre GC MS</w:t>
            </w:r>
          </w:p>
        </w:tc>
        <w:tc>
          <w:tcPr>
            <w:tcW w:w="885" w:type="dxa"/>
            <w:shd w:val="clear" w:color="auto" w:fill="auto"/>
          </w:tcPr>
          <w:p w14:paraId="64909B76" w14:textId="5DF20456" w:rsidR="00DD3B7B" w:rsidRPr="0097156C" w:rsidRDefault="00DD3B7B" w:rsidP="00917977">
            <w:r w:rsidRPr="0097156C">
              <w:t>1 ks</w:t>
            </w:r>
          </w:p>
        </w:tc>
        <w:tc>
          <w:tcPr>
            <w:tcW w:w="947" w:type="dxa"/>
            <w:shd w:val="clear" w:color="auto" w:fill="auto"/>
          </w:tcPr>
          <w:p w14:paraId="1AA8DA1B" w14:textId="77777777" w:rsidR="00DD3B7B" w:rsidRPr="0097156C" w:rsidRDefault="00DD3B7B" w:rsidP="00917977"/>
        </w:tc>
        <w:tc>
          <w:tcPr>
            <w:tcW w:w="1118" w:type="dxa"/>
            <w:shd w:val="clear" w:color="auto" w:fill="auto"/>
          </w:tcPr>
          <w:p w14:paraId="5AC40849" w14:textId="77777777" w:rsidR="00DD3B7B" w:rsidRPr="0097156C" w:rsidRDefault="00DD3B7B" w:rsidP="00917977"/>
        </w:tc>
        <w:tc>
          <w:tcPr>
            <w:tcW w:w="1178" w:type="dxa"/>
            <w:shd w:val="clear" w:color="auto" w:fill="auto"/>
          </w:tcPr>
          <w:p w14:paraId="2D7EC77D" w14:textId="77777777" w:rsidR="00DD3B7B" w:rsidRPr="0097156C" w:rsidRDefault="00DD3B7B" w:rsidP="00917977"/>
        </w:tc>
      </w:tr>
      <w:tr w:rsidR="00DD3B7B" w:rsidRPr="0097156C" w14:paraId="5190D6D7" w14:textId="77777777" w:rsidTr="00DD3B7B">
        <w:tc>
          <w:tcPr>
            <w:tcW w:w="597" w:type="dxa"/>
          </w:tcPr>
          <w:p w14:paraId="44E32DB9" w14:textId="289D4B62" w:rsidR="00DD3B7B" w:rsidRPr="0097156C" w:rsidRDefault="00DD3B7B" w:rsidP="00917977">
            <w:r w:rsidRPr="0097156C">
              <w:t>7</w:t>
            </w:r>
          </w:p>
        </w:tc>
        <w:tc>
          <w:tcPr>
            <w:tcW w:w="4902" w:type="dxa"/>
            <w:shd w:val="clear" w:color="auto" w:fill="auto"/>
          </w:tcPr>
          <w:p w14:paraId="70312846" w14:textId="43101E5C" w:rsidR="00DD3B7B" w:rsidRPr="0097156C" w:rsidRDefault="00DD3B7B" w:rsidP="00917977">
            <w:r w:rsidRPr="0097156C">
              <w:t>Pozlátené vstupné tesnenie s podložkou</w:t>
            </w:r>
          </w:p>
        </w:tc>
        <w:tc>
          <w:tcPr>
            <w:tcW w:w="885" w:type="dxa"/>
            <w:shd w:val="clear" w:color="auto" w:fill="auto"/>
          </w:tcPr>
          <w:p w14:paraId="28E2F0A7" w14:textId="5C699912" w:rsidR="00DD3B7B" w:rsidRPr="0097156C" w:rsidRDefault="00DD3B7B" w:rsidP="00917977">
            <w:r w:rsidRPr="0097156C">
              <w:t>1 ks</w:t>
            </w:r>
          </w:p>
        </w:tc>
        <w:tc>
          <w:tcPr>
            <w:tcW w:w="947" w:type="dxa"/>
            <w:shd w:val="clear" w:color="auto" w:fill="auto"/>
          </w:tcPr>
          <w:p w14:paraId="25370DD0" w14:textId="77777777" w:rsidR="00DD3B7B" w:rsidRPr="0097156C" w:rsidRDefault="00DD3B7B" w:rsidP="00917977"/>
        </w:tc>
        <w:tc>
          <w:tcPr>
            <w:tcW w:w="1118" w:type="dxa"/>
            <w:shd w:val="clear" w:color="auto" w:fill="auto"/>
          </w:tcPr>
          <w:p w14:paraId="4C19A18E" w14:textId="77777777" w:rsidR="00DD3B7B" w:rsidRPr="0097156C" w:rsidRDefault="00DD3B7B" w:rsidP="00917977"/>
        </w:tc>
        <w:tc>
          <w:tcPr>
            <w:tcW w:w="1178" w:type="dxa"/>
            <w:shd w:val="clear" w:color="auto" w:fill="auto"/>
          </w:tcPr>
          <w:p w14:paraId="0E5798E2" w14:textId="77777777" w:rsidR="00DD3B7B" w:rsidRPr="0097156C" w:rsidRDefault="00DD3B7B" w:rsidP="00917977"/>
        </w:tc>
      </w:tr>
      <w:tr w:rsidR="00DD3B7B" w:rsidRPr="0097156C" w14:paraId="731CBC62" w14:textId="77777777" w:rsidTr="00DD3B7B">
        <w:tc>
          <w:tcPr>
            <w:tcW w:w="597" w:type="dxa"/>
          </w:tcPr>
          <w:p w14:paraId="30C7FA32" w14:textId="3073EC85" w:rsidR="00DD3B7B" w:rsidRPr="0097156C" w:rsidRDefault="00DD3B7B" w:rsidP="00917977">
            <w:r w:rsidRPr="0097156C">
              <w:t>8</w:t>
            </w:r>
          </w:p>
        </w:tc>
        <w:tc>
          <w:tcPr>
            <w:tcW w:w="4902" w:type="dxa"/>
            <w:shd w:val="clear" w:color="auto" w:fill="auto"/>
          </w:tcPr>
          <w:p w14:paraId="02D61B79" w14:textId="453574CE" w:rsidR="00DD3B7B" w:rsidRPr="0097156C" w:rsidRDefault="00DD3B7B" w:rsidP="00917977">
            <w:r w:rsidRPr="0097156C">
              <w:t>Univerzálny zachytávač nečistôt pre plyn He</w:t>
            </w:r>
          </w:p>
        </w:tc>
        <w:tc>
          <w:tcPr>
            <w:tcW w:w="885" w:type="dxa"/>
            <w:shd w:val="clear" w:color="auto" w:fill="auto"/>
          </w:tcPr>
          <w:p w14:paraId="6AE8931F" w14:textId="2ECEE12C" w:rsidR="00DD3B7B" w:rsidRPr="0097156C" w:rsidRDefault="00DD3B7B" w:rsidP="00917977">
            <w:r w:rsidRPr="0097156C">
              <w:t>1ks</w:t>
            </w:r>
          </w:p>
        </w:tc>
        <w:tc>
          <w:tcPr>
            <w:tcW w:w="947" w:type="dxa"/>
            <w:shd w:val="clear" w:color="auto" w:fill="auto"/>
          </w:tcPr>
          <w:p w14:paraId="776105DF" w14:textId="77777777" w:rsidR="00DD3B7B" w:rsidRPr="0097156C" w:rsidRDefault="00DD3B7B" w:rsidP="00917977"/>
        </w:tc>
        <w:tc>
          <w:tcPr>
            <w:tcW w:w="1118" w:type="dxa"/>
            <w:shd w:val="clear" w:color="auto" w:fill="auto"/>
          </w:tcPr>
          <w:p w14:paraId="602B2549" w14:textId="77777777" w:rsidR="00DD3B7B" w:rsidRPr="0097156C" w:rsidRDefault="00DD3B7B" w:rsidP="00917977"/>
        </w:tc>
        <w:tc>
          <w:tcPr>
            <w:tcW w:w="1178" w:type="dxa"/>
            <w:shd w:val="clear" w:color="auto" w:fill="auto"/>
          </w:tcPr>
          <w:p w14:paraId="7242434C" w14:textId="77777777" w:rsidR="00DD3B7B" w:rsidRPr="0097156C" w:rsidRDefault="00DD3B7B" w:rsidP="00917977"/>
        </w:tc>
      </w:tr>
      <w:tr w:rsidR="00DD3B7B" w:rsidRPr="0097156C" w14:paraId="399002E9" w14:textId="77777777" w:rsidTr="00DD3B7B">
        <w:tc>
          <w:tcPr>
            <w:tcW w:w="597" w:type="dxa"/>
          </w:tcPr>
          <w:p w14:paraId="3DABF3E1" w14:textId="51A122C2" w:rsidR="00DD3B7B" w:rsidRPr="0097156C" w:rsidRDefault="00DD3B7B" w:rsidP="00917977">
            <w:r w:rsidRPr="0097156C">
              <w:t>9</w:t>
            </w:r>
          </w:p>
        </w:tc>
        <w:tc>
          <w:tcPr>
            <w:tcW w:w="4902" w:type="dxa"/>
            <w:shd w:val="clear" w:color="auto" w:fill="auto"/>
          </w:tcPr>
          <w:p w14:paraId="08B7DE47" w14:textId="494340F7" w:rsidR="00DD3B7B" w:rsidRPr="0097156C" w:rsidRDefault="00DD3B7B" w:rsidP="00917977">
            <w:r w:rsidRPr="0097156C">
              <w:t>Chránič kolóny ultimetal</w:t>
            </w:r>
          </w:p>
        </w:tc>
        <w:tc>
          <w:tcPr>
            <w:tcW w:w="885" w:type="dxa"/>
            <w:shd w:val="clear" w:color="auto" w:fill="auto"/>
          </w:tcPr>
          <w:p w14:paraId="10D6ED9D" w14:textId="34202391" w:rsidR="00DD3B7B" w:rsidRPr="0097156C" w:rsidRDefault="00DD3B7B" w:rsidP="00917977">
            <w:r w:rsidRPr="0097156C">
              <w:t>1ks</w:t>
            </w:r>
          </w:p>
        </w:tc>
        <w:tc>
          <w:tcPr>
            <w:tcW w:w="947" w:type="dxa"/>
            <w:shd w:val="clear" w:color="auto" w:fill="auto"/>
          </w:tcPr>
          <w:p w14:paraId="20664CC5" w14:textId="77777777" w:rsidR="00DD3B7B" w:rsidRPr="0097156C" w:rsidRDefault="00DD3B7B" w:rsidP="00917977"/>
        </w:tc>
        <w:tc>
          <w:tcPr>
            <w:tcW w:w="1118" w:type="dxa"/>
            <w:shd w:val="clear" w:color="auto" w:fill="auto"/>
          </w:tcPr>
          <w:p w14:paraId="0F9BE5E7" w14:textId="77777777" w:rsidR="00DD3B7B" w:rsidRPr="0097156C" w:rsidRDefault="00DD3B7B" w:rsidP="00917977"/>
        </w:tc>
        <w:tc>
          <w:tcPr>
            <w:tcW w:w="1178" w:type="dxa"/>
            <w:shd w:val="clear" w:color="auto" w:fill="auto"/>
          </w:tcPr>
          <w:p w14:paraId="6ACF9B91" w14:textId="77777777" w:rsidR="00DD3B7B" w:rsidRPr="0097156C" w:rsidRDefault="00DD3B7B" w:rsidP="00917977"/>
        </w:tc>
      </w:tr>
      <w:tr w:rsidR="00DD3B7B" w:rsidRPr="0097156C" w14:paraId="37CA7F2E" w14:textId="77777777" w:rsidTr="00DD3B7B">
        <w:tc>
          <w:tcPr>
            <w:tcW w:w="597" w:type="dxa"/>
          </w:tcPr>
          <w:p w14:paraId="623AC2C0" w14:textId="315EB936" w:rsidR="00DD3B7B" w:rsidRPr="0097156C" w:rsidRDefault="00ED3ACD" w:rsidP="00917977">
            <w:r>
              <w:t>10.</w:t>
            </w:r>
          </w:p>
        </w:tc>
        <w:tc>
          <w:tcPr>
            <w:tcW w:w="4902" w:type="dxa"/>
            <w:shd w:val="clear" w:color="auto" w:fill="auto"/>
          </w:tcPr>
          <w:p w14:paraId="6755DA92" w14:textId="58CFA5C2" w:rsidR="00DD3B7B" w:rsidRPr="0097156C" w:rsidRDefault="00DD3B7B" w:rsidP="00917977">
            <w:r w:rsidRPr="0097156C">
              <w:t>Servisná hodina (preventívna údržba GC MS)</w:t>
            </w:r>
          </w:p>
        </w:tc>
        <w:tc>
          <w:tcPr>
            <w:tcW w:w="885" w:type="dxa"/>
            <w:shd w:val="clear" w:color="auto" w:fill="auto"/>
          </w:tcPr>
          <w:p w14:paraId="63AEFA70" w14:textId="3116EFAD" w:rsidR="00DD3B7B" w:rsidRPr="0097156C" w:rsidRDefault="00DD3B7B" w:rsidP="00917977">
            <w:r w:rsidRPr="0097156C">
              <w:t>1 ks</w:t>
            </w:r>
          </w:p>
        </w:tc>
        <w:tc>
          <w:tcPr>
            <w:tcW w:w="947" w:type="dxa"/>
            <w:shd w:val="clear" w:color="auto" w:fill="auto"/>
          </w:tcPr>
          <w:p w14:paraId="4ACA8E00" w14:textId="77777777" w:rsidR="00DD3B7B" w:rsidRPr="0097156C" w:rsidRDefault="00DD3B7B" w:rsidP="00917977"/>
        </w:tc>
        <w:tc>
          <w:tcPr>
            <w:tcW w:w="1118" w:type="dxa"/>
            <w:shd w:val="clear" w:color="auto" w:fill="auto"/>
          </w:tcPr>
          <w:p w14:paraId="57B684BE" w14:textId="77777777" w:rsidR="00DD3B7B" w:rsidRPr="0097156C" w:rsidRDefault="00DD3B7B" w:rsidP="00917977"/>
        </w:tc>
        <w:tc>
          <w:tcPr>
            <w:tcW w:w="1178" w:type="dxa"/>
            <w:shd w:val="clear" w:color="auto" w:fill="auto"/>
          </w:tcPr>
          <w:p w14:paraId="100F58B3" w14:textId="77777777" w:rsidR="00DD3B7B" w:rsidRPr="0097156C" w:rsidRDefault="00DD3B7B" w:rsidP="00917977"/>
        </w:tc>
      </w:tr>
      <w:tr w:rsidR="00DD3B7B" w:rsidRPr="0097156C" w14:paraId="4FCC6059" w14:textId="77777777" w:rsidTr="0097156C">
        <w:trPr>
          <w:trHeight w:val="313"/>
        </w:trPr>
        <w:tc>
          <w:tcPr>
            <w:tcW w:w="597" w:type="dxa"/>
          </w:tcPr>
          <w:p w14:paraId="63B76E46" w14:textId="77777777" w:rsidR="00DD3B7B" w:rsidRPr="0097156C" w:rsidRDefault="00DD3B7B" w:rsidP="00917977">
            <w:pPr>
              <w:rPr>
                <w:b/>
              </w:rPr>
            </w:pPr>
          </w:p>
        </w:tc>
        <w:tc>
          <w:tcPr>
            <w:tcW w:w="4902" w:type="dxa"/>
            <w:shd w:val="clear" w:color="auto" w:fill="auto"/>
          </w:tcPr>
          <w:p w14:paraId="0831703E" w14:textId="019246EC" w:rsidR="00DD3B7B" w:rsidRPr="0097156C" w:rsidRDefault="00DD3B7B" w:rsidP="00917977">
            <w:pPr>
              <w:rPr>
                <w:b/>
              </w:rPr>
            </w:pPr>
            <w:r w:rsidRPr="0097156C">
              <w:rPr>
                <w:b/>
              </w:rPr>
              <w:t>SPOLU</w:t>
            </w:r>
          </w:p>
        </w:tc>
        <w:tc>
          <w:tcPr>
            <w:tcW w:w="885" w:type="dxa"/>
            <w:shd w:val="clear" w:color="auto" w:fill="auto"/>
          </w:tcPr>
          <w:p w14:paraId="6BAB9CEA" w14:textId="77777777" w:rsidR="00DD3B7B" w:rsidRPr="0097156C" w:rsidRDefault="00DD3B7B" w:rsidP="00917977">
            <w:pPr>
              <w:rPr>
                <w:b/>
              </w:rPr>
            </w:pPr>
            <w:r w:rsidRPr="0097156C">
              <w:rPr>
                <w:b/>
              </w:rPr>
              <w:t>x</w:t>
            </w:r>
          </w:p>
        </w:tc>
        <w:tc>
          <w:tcPr>
            <w:tcW w:w="947" w:type="dxa"/>
            <w:shd w:val="clear" w:color="auto" w:fill="auto"/>
          </w:tcPr>
          <w:p w14:paraId="31AFA529" w14:textId="77777777" w:rsidR="00DD3B7B" w:rsidRPr="0097156C" w:rsidRDefault="00DD3B7B" w:rsidP="00917977">
            <w:pPr>
              <w:rPr>
                <w:b/>
              </w:rPr>
            </w:pPr>
            <w:r w:rsidRPr="0097156C">
              <w:rPr>
                <w:b/>
              </w:rPr>
              <w:t>x</w:t>
            </w:r>
          </w:p>
        </w:tc>
        <w:tc>
          <w:tcPr>
            <w:tcW w:w="1118" w:type="dxa"/>
            <w:shd w:val="clear" w:color="auto" w:fill="auto"/>
          </w:tcPr>
          <w:p w14:paraId="3A5FDBF4" w14:textId="77777777" w:rsidR="00DD3B7B" w:rsidRPr="0097156C" w:rsidRDefault="00DD3B7B" w:rsidP="00917977">
            <w:pPr>
              <w:rPr>
                <w:b/>
              </w:rPr>
            </w:pPr>
          </w:p>
        </w:tc>
        <w:tc>
          <w:tcPr>
            <w:tcW w:w="1178" w:type="dxa"/>
            <w:shd w:val="clear" w:color="auto" w:fill="auto"/>
          </w:tcPr>
          <w:p w14:paraId="0A85F31D" w14:textId="77777777" w:rsidR="00DD3B7B" w:rsidRPr="0097156C" w:rsidRDefault="00DD3B7B" w:rsidP="00917977">
            <w:pPr>
              <w:rPr>
                <w:b/>
              </w:rPr>
            </w:pPr>
          </w:p>
        </w:tc>
      </w:tr>
    </w:tbl>
    <w:p w14:paraId="6E9914BD" w14:textId="77777777" w:rsidR="009800AF" w:rsidRPr="0097156C" w:rsidRDefault="009800AF" w:rsidP="009800AF">
      <w:pPr>
        <w:rPr>
          <w:b/>
          <w:sz w:val="22"/>
        </w:rPr>
      </w:pPr>
    </w:p>
    <w:p w14:paraId="7DA5C4C8" w14:textId="77777777" w:rsidR="00B846F9" w:rsidRPr="0097156C" w:rsidRDefault="00B846F9" w:rsidP="002B2868">
      <w:pPr>
        <w:pStyle w:val="Odsekzoznamu"/>
        <w:ind w:left="360"/>
        <w:jc w:val="both"/>
        <w:rPr>
          <w:sz w:val="22"/>
          <w:szCs w:val="22"/>
        </w:rPr>
      </w:pPr>
    </w:p>
    <w:p w14:paraId="63B72C7B" w14:textId="77777777" w:rsidR="00B846F9" w:rsidRPr="0097156C" w:rsidRDefault="00B846F9" w:rsidP="002B2868">
      <w:pPr>
        <w:pStyle w:val="Odsekzoznamu"/>
        <w:ind w:left="360"/>
        <w:jc w:val="both"/>
        <w:rPr>
          <w:sz w:val="22"/>
          <w:szCs w:val="22"/>
        </w:rPr>
        <w:sectPr w:rsidR="00B846F9" w:rsidRPr="0097156C" w:rsidSect="00D35CBD">
          <w:footerReference w:type="default" r:id="rId8"/>
          <w:pgSz w:w="11906" w:h="16838" w:code="9"/>
          <w:pgMar w:top="1134" w:right="851" w:bottom="1134" w:left="1418" w:header="709" w:footer="709" w:gutter="0"/>
          <w:cols w:space="708"/>
          <w:docGrid w:linePitch="360"/>
        </w:sectPr>
      </w:pPr>
    </w:p>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633D2" w14:textId="77777777" w:rsidR="00507D2A" w:rsidRDefault="00507D2A">
      <w:r>
        <w:separator/>
      </w:r>
    </w:p>
  </w:endnote>
  <w:endnote w:type="continuationSeparator" w:id="0">
    <w:p w14:paraId="33ADC768" w14:textId="77777777" w:rsidR="00507D2A" w:rsidRDefault="0050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9405A8">
          <w:rPr>
            <w:rFonts w:ascii="Arial Narrow" w:hAnsi="Arial Narrow"/>
            <w:sz w:val="16"/>
            <w:szCs w:val="16"/>
          </w:rPr>
          <w:t>3</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A3B06" w14:textId="77777777" w:rsidR="00507D2A" w:rsidRDefault="00507D2A">
      <w:r>
        <w:separator/>
      </w:r>
    </w:p>
  </w:footnote>
  <w:footnote w:type="continuationSeparator" w:id="0">
    <w:p w14:paraId="4FA5B2DC" w14:textId="77777777" w:rsidR="00507D2A" w:rsidRDefault="0050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9"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0"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0"/>
  </w:num>
  <w:num w:numId="21">
    <w:abstractNumId w:val="24"/>
  </w:num>
  <w:num w:numId="22">
    <w:abstractNumId w:val="63"/>
  </w:num>
  <w:num w:numId="23">
    <w:abstractNumId w:val="57"/>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1"/>
  </w:num>
  <w:num w:numId="39">
    <w:abstractNumId w:val="34"/>
  </w:num>
  <w:num w:numId="40">
    <w:abstractNumId w:val="64"/>
  </w:num>
  <w:num w:numId="41">
    <w:abstractNumId w:val="36"/>
  </w:num>
  <w:num w:numId="42">
    <w:abstractNumId w:val="35"/>
  </w:num>
  <w:num w:numId="43">
    <w:abstractNumId w:val="39"/>
  </w:num>
  <w:num w:numId="44">
    <w:abstractNumId w:val="43"/>
  </w:num>
  <w:num w:numId="45">
    <w:abstractNumId w:val="27"/>
  </w:num>
  <w:num w:numId="46">
    <w:abstractNumId w:val="56"/>
  </w:num>
  <w:num w:numId="47">
    <w:abstractNumId w:val="62"/>
  </w:num>
  <w:num w:numId="48">
    <w:abstractNumId w:val="33"/>
  </w:num>
  <w:num w:numId="49">
    <w:abstractNumId w:val="20"/>
  </w:num>
  <w:num w:numId="50">
    <w:abstractNumId w:val="59"/>
  </w:num>
  <w:num w:numId="51">
    <w:abstractNumId w:val="23"/>
  </w:num>
  <w:num w:numId="52">
    <w:abstractNumId w:val="65"/>
  </w:num>
  <w:num w:numId="53">
    <w:abstractNumId w:val="12"/>
  </w:num>
  <w:num w:numId="54">
    <w:abstractNumId w:val="49"/>
  </w:num>
  <w:num w:numId="55">
    <w:abstractNumId w:val="58"/>
  </w:num>
  <w:num w:numId="5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DE8A-5C57-4075-B95D-3F9152DB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481</Words>
  <Characters>2747</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8</cp:revision>
  <cp:lastPrinted>2023-05-18T12:09:00Z</cp:lastPrinted>
  <dcterms:created xsi:type="dcterms:W3CDTF">2023-05-12T12:56:00Z</dcterms:created>
  <dcterms:modified xsi:type="dcterms:W3CDTF">2023-05-18T12:15:00Z</dcterms:modified>
</cp:coreProperties>
</file>