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6BB75CE"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CF7C9B">
        <w:rPr>
          <w:rFonts w:ascii="Times New Roman" w:eastAsia="Arial" w:hAnsi="Times New Roman"/>
          <w:b/>
          <w:color w:val="000000"/>
          <w:sz w:val="22"/>
          <w:szCs w:val="22"/>
        </w:rPr>
        <w:t xml:space="preserve">Liečivá pre </w:t>
      </w:r>
      <w:proofErr w:type="spellStart"/>
      <w:r w:rsidR="00CF7C9B">
        <w:rPr>
          <w:rFonts w:ascii="Times New Roman" w:eastAsia="Arial" w:hAnsi="Times New Roman"/>
          <w:b/>
          <w:color w:val="000000"/>
          <w:sz w:val="22"/>
          <w:szCs w:val="22"/>
        </w:rPr>
        <w:t>muskuloskeletálny</w:t>
      </w:r>
      <w:proofErr w:type="spellEnd"/>
      <w:r w:rsidR="00CF7C9B">
        <w:rPr>
          <w:rFonts w:ascii="Times New Roman" w:eastAsia="Arial" w:hAnsi="Times New Roman"/>
          <w:b/>
          <w:color w:val="000000"/>
          <w:sz w:val="22"/>
          <w:szCs w:val="22"/>
        </w:rPr>
        <w:t xml:space="preserve"> systém</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2D970F24"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B57E6D">
        <w:rPr>
          <w:rFonts w:ascii="Times New Roman" w:hAnsi="Times New Roman"/>
          <w:color w:val="000000"/>
          <w:sz w:val="22"/>
          <w:szCs w:val="22"/>
        </w:rPr>
        <w:t>jún</w:t>
      </w:r>
      <w:r w:rsidR="004622A0">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3FB7688F" w14:textId="77777777" w:rsidR="00600D16" w:rsidRPr="00220AE4" w:rsidRDefault="00600D16" w:rsidP="00600D16">
      <w:pPr>
        <w:pStyle w:val="Obsah2"/>
        <w:rPr>
          <w:rFonts w:eastAsiaTheme="minorEastAsia"/>
          <w:sz w:val="22"/>
          <w:szCs w:val="22"/>
        </w:rPr>
      </w:pPr>
      <w:bookmarkStart w:id="7" w:name="_Toc23419303"/>
      <w:bookmarkStart w:id="8" w:name="_Toc23436087"/>
      <w:bookmarkStart w:id="9" w:name="_Toc23436192"/>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7A33157B" w14:textId="77777777" w:rsidR="00600D16" w:rsidRPr="00220AE4" w:rsidRDefault="00000000" w:rsidP="00600D16">
      <w:pPr>
        <w:pStyle w:val="Obsah2"/>
        <w:rPr>
          <w:rFonts w:eastAsiaTheme="minorEastAsia"/>
          <w:sz w:val="22"/>
          <w:szCs w:val="22"/>
        </w:rPr>
      </w:pPr>
      <w:hyperlink w:anchor="_Toc23419305" w:history="1">
        <w:r w:rsidR="00600D16" w:rsidRPr="00220AE4">
          <w:rPr>
            <w:rStyle w:val="Hypertextovprepojenie"/>
            <w:b/>
            <w:color w:val="auto"/>
          </w:rPr>
          <w:t>2.Komplexnosť dodávky</w:t>
        </w:r>
        <w:r w:rsidR="00600D16" w:rsidRPr="00220AE4">
          <w:rPr>
            <w:webHidden/>
          </w:rPr>
          <w:tab/>
        </w:r>
        <w:r w:rsidR="00600D16">
          <w:rPr>
            <w:webHidden/>
          </w:rPr>
          <w:t>4</w:t>
        </w:r>
      </w:hyperlink>
    </w:p>
    <w:p w14:paraId="14CC003B" w14:textId="77777777" w:rsidR="00600D16" w:rsidRPr="00220AE4" w:rsidRDefault="00000000" w:rsidP="00600D16">
      <w:pPr>
        <w:pStyle w:val="Obsah2"/>
        <w:rPr>
          <w:rFonts w:eastAsiaTheme="minorEastAsia"/>
          <w:sz w:val="22"/>
          <w:szCs w:val="22"/>
        </w:rPr>
      </w:pPr>
      <w:hyperlink w:anchor="_Toc23419306" w:history="1">
        <w:r w:rsidR="00600D16" w:rsidRPr="00220AE4">
          <w:rPr>
            <w:rStyle w:val="Hypertextovprepojenie"/>
            <w:b/>
            <w:color w:val="auto"/>
          </w:rPr>
          <w:t>3.Typ zmluvy</w:t>
        </w:r>
        <w:r w:rsidR="00600D16" w:rsidRPr="00220AE4">
          <w:rPr>
            <w:webHidden/>
          </w:rPr>
          <w:tab/>
        </w:r>
        <w:r w:rsidR="00600D16">
          <w:rPr>
            <w:webHidden/>
          </w:rPr>
          <w:t>4</w:t>
        </w:r>
      </w:hyperlink>
    </w:p>
    <w:p w14:paraId="71318450" w14:textId="77777777" w:rsidR="00600D16" w:rsidRPr="00220AE4" w:rsidRDefault="00000000" w:rsidP="00600D16">
      <w:pPr>
        <w:pStyle w:val="Obsah2"/>
        <w:rPr>
          <w:rFonts w:eastAsiaTheme="minorEastAsia"/>
          <w:sz w:val="22"/>
          <w:szCs w:val="22"/>
        </w:rPr>
      </w:pPr>
      <w:hyperlink w:anchor="_Toc23419307" w:history="1">
        <w:r w:rsidR="00600D16" w:rsidRPr="00220AE4">
          <w:rPr>
            <w:rStyle w:val="Hypertextovprepojenie"/>
            <w:b/>
            <w:color w:val="auto"/>
          </w:rPr>
          <w:t>4.Zdroj finančných prostriedkov</w:t>
        </w:r>
        <w:r w:rsidR="00600D16" w:rsidRPr="00220AE4">
          <w:rPr>
            <w:webHidden/>
          </w:rPr>
          <w:tab/>
        </w:r>
        <w:r w:rsidR="00600D16">
          <w:rPr>
            <w:webHidden/>
          </w:rPr>
          <w:t>4</w:t>
        </w:r>
      </w:hyperlink>
    </w:p>
    <w:p w14:paraId="13ADE9B3" w14:textId="77777777" w:rsidR="00600D16" w:rsidRPr="00220AE4" w:rsidRDefault="00000000" w:rsidP="00600D16">
      <w:pPr>
        <w:pStyle w:val="Obsah2"/>
        <w:rPr>
          <w:rFonts w:eastAsiaTheme="minorEastAsia"/>
          <w:sz w:val="22"/>
          <w:szCs w:val="22"/>
        </w:rPr>
      </w:pPr>
      <w:hyperlink w:anchor="_Toc23419308" w:history="1">
        <w:r w:rsidR="00600D16" w:rsidRPr="00220AE4">
          <w:rPr>
            <w:rStyle w:val="Hypertextovprepojenie"/>
            <w:b/>
            <w:color w:val="auto"/>
          </w:rPr>
          <w:t>5.Podmienky predloženia ponuky</w:t>
        </w:r>
        <w:r w:rsidR="00600D16" w:rsidRPr="00220AE4">
          <w:rPr>
            <w:webHidden/>
          </w:rPr>
          <w:tab/>
        </w:r>
        <w:r w:rsidR="00600D16">
          <w:rPr>
            <w:webHidden/>
          </w:rPr>
          <w:t>4</w:t>
        </w:r>
      </w:hyperlink>
    </w:p>
    <w:p w14:paraId="11EB3C97" w14:textId="77777777" w:rsidR="00600D16" w:rsidRPr="00220AE4" w:rsidRDefault="00000000" w:rsidP="00600D16">
      <w:pPr>
        <w:pStyle w:val="Obsah2"/>
        <w:rPr>
          <w:rFonts w:eastAsiaTheme="minorEastAsia"/>
          <w:sz w:val="22"/>
          <w:szCs w:val="22"/>
        </w:rPr>
      </w:pPr>
      <w:hyperlink w:anchor="_Toc23419309" w:history="1">
        <w:r w:rsidR="00600D16" w:rsidRPr="00220AE4">
          <w:rPr>
            <w:rStyle w:val="Hypertextovprepojenie"/>
            <w:b/>
            <w:color w:val="auto"/>
          </w:rPr>
          <w:t>6.Jazyk ponuky</w:t>
        </w:r>
        <w:r w:rsidR="00600D16" w:rsidRPr="00220AE4">
          <w:rPr>
            <w:webHidden/>
          </w:rPr>
          <w:tab/>
        </w:r>
        <w:r w:rsidR="00600D16">
          <w:rPr>
            <w:webHidden/>
          </w:rPr>
          <w:t>5</w:t>
        </w:r>
      </w:hyperlink>
    </w:p>
    <w:p w14:paraId="0880280D" w14:textId="77777777" w:rsidR="00600D16" w:rsidRPr="00220AE4" w:rsidRDefault="00000000" w:rsidP="00600D16">
      <w:pPr>
        <w:pStyle w:val="Obsah2"/>
        <w:rPr>
          <w:rFonts w:eastAsiaTheme="minorEastAsia"/>
          <w:sz w:val="22"/>
          <w:szCs w:val="22"/>
        </w:rPr>
      </w:pPr>
      <w:hyperlink w:anchor="_Toc23419310" w:history="1">
        <w:r w:rsidR="00600D16" w:rsidRPr="00220AE4">
          <w:rPr>
            <w:rStyle w:val="Hypertextovprepojenie"/>
            <w:b/>
            <w:color w:val="auto"/>
          </w:rPr>
          <w:t>7.Predkladanie a obsah ponuky</w:t>
        </w:r>
        <w:r w:rsidR="00600D16" w:rsidRPr="00220AE4">
          <w:rPr>
            <w:webHidden/>
          </w:rPr>
          <w:tab/>
        </w:r>
        <w:r w:rsidR="00600D16">
          <w:rPr>
            <w:webHidden/>
          </w:rPr>
          <w:t>5</w:t>
        </w:r>
      </w:hyperlink>
    </w:p>
    <w:p w14:paraId="378D413B" w14:textId="77777777" w:rsidR="00600D16" w:rsidRPr="00220AE4" w:rsidRDefault="00000000" w:rsidP="00600D16">
      <w:pPr>
        <w:pStyle w:val="Obsah2"/>
        <w:rPr>
          <w:rFonts w:eastAsiaTheme="minorEastAsia"/>
          <w:sz w:val="22"/>
          <w:szCs w:val="22"/>
        </w:rPr>
      </w:pPr>
      <w:hyperlink w:anchor="_Toc23419311" w:history="1">
        <w:r w:rsidR="00600D16" w:rsidRPr="00220AE4">
          <w:rPr>
            <w:rStyle w:val="Hypertextovprepojenie"/>
            <w:b/>
            <w:color w:val="auto"/>
          </w:rPr>
          <w:t>8.Mena a ceny uvádzané v ponuke</w:t>
        </w:r>
        <w:r w:rsidR="00600D16" w:rsidRPr="00220AE4">
          <w:rPr>
            <w:webHidden/>
          </w:rPr>
          <w:tab/>
        </w:r>
        <w:r w:rsidR="00600D16">
          <w:rPr>
            <w:webHidden/>
          </w:rPr>
          <w:t>6</w:t>
        </w:r>
      </w:hyperlink>
    </w:p>
    <w:p w14:paraId="410C4B5A" w14:textId="77777777" w:rsidR="00600D16" w:rsidRPr="00220AE4" w:rsidRDefault="00000000" w:rsidP="00600D16">
      <w:pPr>
        <w:pStyle w:val="Obsah2"/>
        <w:rPr>
          <w:rFonts w:eastAsiaTheme="minorEastAsia"/>
          <w:sz w:val="22"/>
          <w:szCs w:val="22"/>
        </w:rPr>
      </w:pPr>
      <w:hyperlink w:anchor="_Toc23419312" w:history="1">
        <w:r w:rsidR="00600D16" w:rsidRPr="00220AE4">
          <w:rPr>
            <w:rStyle w:val="Hypertextovprepojenie"/>
            <w:b/>
            <w:color w:val="auto"/>
          </w:rPr>
          <w:t>9.Lehota na predkladanie ponúk</w:t>
        </w:r>
        <w:r w:rsidR="00600D16" w:rsidRPr="00220AE4">
          <w:rPr>
            <w:webHidden/>
          </w:rPr>
          <w:tab/>
        </w:r>
        <w:r w:rsidR="00600D16">
          <w:rPr>
            <w:webHidden/>
          </w:rPr>
          <w:t>7</w:t>
        </w:r>
      </w:hyperlink>
    </w:p>
    <w:p w14:paraId="0FB38A26" w14:textId="77777777" w:rsidR="00600D16" w:rsidRPr="00220AE4" w:rsidRDefault="00000000" w:rsidP="00600D16">
      <w:pPr>
        <w:pStyle w:val="Obsah2"/>
        <w:rPr>
          <w:rFonts w:eastAsiaTheme="minorEastAsia"/>
          <w:sz w:val="22"/>
          <w:szCs w:val="22"/>
        </w:rPr>
      </w:pPr>
      <w:hyperlink w:anchor="_Toc23419313" w:history="1">
        <w:r w:rsidR="00600D16" w:rsidRPr="00220AE4">
          <w:rPr>
            <w:rStyle w:val="Hypertextovprepojenie"/>
            <w:b/>
            <w:color w:val="auto"/>
          </w:rPr>
          <w:t>10.Platnosť (viazanosť) ponuky</w:t>
        </w:r>
        <w:r w:rsidR="00600D16" w:rsidRPr="00220AE4">
          <w:rPr>
            <w:webHidden/>
          </w:rPr>
          <w:tab/>
        </w:r>
        <w:r w:rsidR="00600D16">
          <w:rPr>
            <w:webHidden/>
          </w:rPr>
          <w:t>7</w:t>
        </w:r>
      </w:hyperlink>
    </w:p>
    <w:p w14:paraId="75C78E19" w14:textId="77777777" w:rsidR="00600D16" w:rsidRPr="00220AE4" w:rsidRDefault="00000000" w:rsidP="00600D16">
      <w:pPr>
        <w:pStyle w:val="Obsah2"/>
        <w:rPr>
          <w:rFonts w:eastAsiaTheme="minorEastAsia"/>
          <w:sz w:val="22"/>
          <w:szCs w:val="22"/>
        </w:rPr>
      </w:pPr>
      <w:hyperlink w:anchor="_Toc23419314" w:history="1">
        <w:r w:rsidR="00600D16" w:rsidRPr="00220AE4">
          <w:rPr>
            <w:rStyle w:val="Hypertextovprepojenie"/>
            <w:b/>
            <w:color w:val="auto"/>
          </w:rPr>
          <w:t>11.Zábezpeka ponuky</w:t>
        </w:r>
        <w:r w:rsidR="00600D16" w:rsidRPr="00220AE4">
          <w:rPr>
            <w:webHidden/>
          </w:rPr>
          <w:tab/>
        </w:r>
        <w:r w:rsidR="00600D16">
          <w:rPr>
            <w:webHidden/>
          </w:rPr>
          <w:t>7</w:t>
        </w:r>
      </w:hyperlink>
    </w:p>
    <w:p w14:paraId="03A33B10" w14:textId="77777777" w:rsidR="00600D16" w:rsidRPr="00220AE4" w:rsidRDefault="00000000" w:rsidP="00600D16">
      <w:pPr>
        <w:pStyle w:val="Obsah2"/>
        <w:rPr>
          <w:rFonts w:eastAsiaTheme="minorEastAsia"/>
          <w:sz w:val="22"/>
          <w:szCs w:val="22"/>
        </w:rPr>
      </w:pPr>
      <w:hyperlink w:anchor="_Toc23419315" w:history="1">
        <w:r w:rsidR="00600D16" w:rsidRPr="00220AE4">
          <w:rPr>
            <w:rStyle w:val="Hypertextovprepojenie"/>
            <w:b/>
            <w:color w:val="auto"/>
          </w:rPr>
          <w:t>12.Doplnenie, zmena a odvolanie ponuky</w:t>
        </w:r>
        <w:r w:rsidR="00600D16" w:rsidRPr="00220AE4">
          <w:rPr>
            <w:webHidden/>
          </w:rPr>
          <w:tab/>
        </w:r>
        <w:r w:rsidR="00600D16">
          <w:rPr>
            <w:webHidden/>
          </w:rPr>
          <w:t>7</w:t>
        </w:r>
      </w:hyperlink>
    </w:p>
    <w:p w14:paraId="281D9088" w14:textId="77777777" w:rsidR="00600D16" w:rsidRPr="00220AE4" w:rsidRDefault="00000000" w:rsidP="00600D16">
      <w:pPr>
        <w:pStyle w:val="Obsah2"/>
        <w:rPr>
          <w:rFonts w:eastAsiaTheme="minorEastAsia"/>
          <w:sz w:val="22"/>
          <w:szCs w:val="22"/>
        </w:rPr>
      </w:pPr>
      <w:hyperlink w:anchor="_Toc23419316" w:history="1">
        <w:r w:rsidR="00600D16" w:rsidRPr="00220AE4">
          <w:rPr>
            <w:rStyle w:val="Hypertextovprepojenie"/>
            <w:b/>
            <w:color w:val="auto"/>
          </w:rPr>
          <w:t>13.Náklady na ponuku</w:t>
        </w:r>
        <w:r w:rsidR="00600D16" w:rsidRPr="00220AE4">
          <w:rPr>
            <w:webHidden/>
          </w:rPr>
          <w:tab/>
        </w:r>
        <w:r w:rsidR="00600D16">
          <w:rPr>
            <w:webHidden/>
          </w:rPr>
          <w:t>7</w:t>
        </w:r>
      </w:hyperlink>
    </w:p>
    <w:p w14:paraId="113E8255" w14:textId="77777777" w:rsidR="00600D16" w:rsidRPr="00220AE4" w:rsidRDefault="00000000" w:rsidP="00600D16">
      <w:pPr>
        <w:pStyle w:val="Obsah2"/>
        <w:rPr>
          <w:rFonts w:eastAsiaTheme="minorEastAsia"/>
          <w:sz w:val="22"/>
          <w:szCs w:val="22"/>
        </w:rPr>
      </w:pPr>
      <w:hyperlink w:anchor="_Toc23419317" w:history="1">
        <w:r w:rsidR="00600D16" w:rsidRPr="00220AE4">
          <w:rPr>
            <w:rStyle w:val="Hypertextovprepojenie"/>
            <w:b/>
            <w:color w:val="auto"/>
          </w:rPr>
          <w:t>14.Variantné riešenie</w:t>
        </w:r>
        <w:r w:rsidR="00600D16" w:rsidRPr="00220AE4">
          <w:rPr>
            <w:webHidden/>
          </w:rPr>
          <w:tab/>
        </w:r>
        <w:r w:rsidR="00600D16">
          <w:rPr>
            <w:webHidden/>
          </w:rPr>
          <w:t>8</w:t>
        </w:r>
      </w:hyperlink>
    </w:p>
    <w:p w14:paraId="261AB0F3" w14:textId="77777777" w:rsidR="00600D16" w:rsidRPr="00220AE4" w:rsidRDefault="00000000" w:rsidP="00600D16">
      <w:pPr>
        <w:pStyle w:val="Obsah2"/>
        <w:rPr>
          <w:rFonts w:eastAsiaTheme="minorEastAsia"/>
          <w:sz w:val="22"/>
          <w:szCs w:val="22"/>
        </w:rPr>
      </w:pPr>
      <w:hyperlink w:anchor="_Toc23419318" w:history="1">
        <w:r w:rsidR="00600D16" w:rsidRPr="00220AE4">
          <w:rPr>
            <w:rStyle w:val="Hypertextovprepojenie"/>
            <w:b/>
            <w:color w:val="auto"/>
          </w:rPr>
          <w:t>15.Predkladanie žiadostí o súťažné podklady</w:t>
        </w:r>
        <w:r w:rsidR="00600D16" w:rsidRPr="00220AE4">
          <w:rPr>
            <w:webHidden/>
          </w:rPr>
          <w:tab/>
        </w:r>
        <w:r w:rsidR="00600D16">
          <w:rPr>
            <w:webHidden/>
          </w:rPr>
          <w:t>8</w:t>
        </w:r>
      </w:hyperlink>
    </w:p>
    <w:p w14:paraId="69032B59" w14:textId="77777777" w:rsidR="00600D16" w:rsidRPr="00220AE4" w:rsidRDefault="00000000" w:rsidP="00600D16">
      <w:pPr>
        <w:pStyle w:val="Obsah2"/>
        <w:rPr>
          <w:rFonts w:eastAsiaTheme="minorEastAsia"/>
          <w:sz w:val="22"/>
          <w:szCs w:val="22"/>
        </w:rPr>
      </w:pPr>
      <w:hyperlink w:anchor="_Toc23419319" w:history="1">
        <w:r w:rsidR="00600D16" w:rsidRPr="00220AE4">
          <w:rPr>
            <w:rStyle w:val="Hypertextovprepojenie"/>
            <w:b/>
            <w:color w:val="auto"/>
          </w:rPr>
          <w:t>16.Podmienky zrušenia použitého postupu zadávania zákazky</w:t>
        </w:r>
        <w:r w:rsidR="00600D16" w:rsidRPr="00220AE4">
          <w:rPr>
            <w:webHidden/>
          </w:rPr>
          <w:tab/>
        </w:r>
        <w:r w:rsidR="00600D16">
          <w:rPr>
            <w:webHidden/>
          </w:rPr>
          <w:t>8</w:t>
        </w:r>
      </w:hyperlink>
    </w:p>
    <w:p w14:paraId="39A2E3B4" w14:textId="77777777" w:rsidR="00600D16" w:rsidRPr="00220AE4" w:rsidRDefault="00000000" w:rsidP="00600D16">
      <w:pPr>
        <w:pStyle w:val="Obsah2"/>
        <w:rPr>
          <w:rFonts w:eastAsiaTheme="minorEastAsia"/>
          <w:sz w:val="22"/>
          <w:szCs w:val="22"/>
        </w:rPr>
      </w:pPr>
      <w:hyperlink w:anchor="_Toc23419320" w:history="1">
        <w:r w:rsidR="00600D16" w:rsidRPr="00220AE4">
          <w:rPr>
            <w:rStyle w:val="Hypertextovprepojenie"/>
            <w:b/>
            <w:color w:val="auto"/>
          </w:rPr>
          <w:t>17.Komunikácia a vysvetlenie</w:t>
        </w:r>
        <w:r w:rsidR="00600D16" w:rsidRPr="00220AE4">
          <w:rPr>
            <w:webHidden/>
          </w:rPr>
          <w:tab/>
        </w:r>
        <w:r w:rsidR="00600D16">
          <w:rPr>
            <w:webHidden/>
          </w:rPr>
          <w:t>8</w:t>
        </w:r>
      </w:hyperlink>
    </w:p>
    <w:p w14:paraId="39063939" w14:textId="77777777" w:rsidR="00600D16" w:rsidRPr="00220AE4" w:rsidRDefault="00000000" w:rsidP="00600D16">
      <w:pPr>
        <w:pStyle w:val="Obsah2"/>
        <w:rPr>
          <w:rFonts w:eastAsiaTheme="minorEastAsia"/>
          <w:sz w:val="22"/>
          <w:szCs w:val="22"/>
        </w:rPr>
      </w:pPr>
      <w:hyperlink w:anchor="_Toc23419321" w:history="1">
        <w:r w:rsidR="00600D16" w:rsidRPr="00220AE4">
          <w:rPr>
            <w:rStyle w:val="Hypertextovprepojenie"/>
            <w:b/>
            <w:color w:val="auto"/>
          </w:rPr>
          <w:t>18.Vysvetlenie súťažných podkladov</w:t>
        </w:r>
        <w:r w:rsidR="00600D16" w:rsidRPr="00220AE4">
          <w:rPr>
            <w:webHidden/>
          </w:rPr>
          <w:tab/>
        </w:r>
        <w:r w:rsidR="00600D16">
          <w:rPr>
            <w:webHidden/>
          </w:rPr>
          <w:t>9</w:t>
        </w:r>
      </w:hyperlink>
    </w:p>
    <w:p w14:paraId="3ECE0876" w14:textId="77777777" w:rsidR="00600D16" w:rsidRPr="00220AE4" w:rsidRDefault="00000000" w:rsidP="00600D16">
      <w:pPr>
        <w:pStyle w:val="Obsah2"/>
        <w:rPr>
          <w:rFonts w:eastAsiaTheme="minorEastAsia"/>
          <w:sz w:val="22"/>
          <w:szCs w:val="22"/>
        </w:rPr>
      </w:pPr>
      <w:hyperlink w:anchor="_Toc23419322" w:history="1">
        <w:r w:rsidR="00600D16" w:rsidRPr="00220AE4">
          <w:rPr>
            <w:rStyle w:val="Hypertextovprepojenie"/>
            <w:b/>
            <w:color w:val="auto"/>
          </w:rPr>
          <w:t>19.Otváranie ponúk (ku konkrétnej výzve DNS)</w:t>
        </w:r>
        <w:r w:rsidR="00600D16" w:rsidRPr="00220AE4">
          <w:rPr>
            <w:webHidden/>
          </w:rPr>
          <w:tab/>
        </w:r>
        <w:r w:rsidR="00600D16">
          <w:rPr>
            <w:webHidden/>
          </w:rPr>
          <w:t>10</w:t>
        </w:r>
      </w:hyperlink>
    </w:p>
    <w:p w14:paraId="01277F06" w14:textId="77777777" w:rsidR="00600D16" w:rsidRPr="00220AE4" w:rsidRDefault="00000000" w:rsidP="00600D16">
      <w:pPr>
        <w:pStyle w:val="Obsah2"/>
        <w:rPr>
          <w:rFonts w:eastAsiaTheme="minorEastAsia"/>
          <w:sz w:val="22"/>
          <w:szCs w:val="22"/>
        </w:rPr>
      </w:pPr>
      <w:hyperlink w:anchor="_Toc23419323" w:history="1">
        <w:r w:rsidR="00600D16" w:rsidRPr="00220AE4">
          <w:rPr>
            <w:rStyle w:val="Hypertextovprepojenie"/>
            <w:b/>
            <w:color w:val="auto"/>
          </w:rPr>
          <w:t>20.Vyhodnotenie ponúk</w:t>
        </w:r>
        <w:r w:rsidR="00600D16" w:rsidRPr="00220AE4">
          <w:rPr>
            <w:webHidden/>
          </w:rPr>
          <w:tab/>
        </w:r>
        <w:r w:rsidR="00600D16">
          <w:rPr>
            <w:webHidden/>
          </w:rPr>
          <w:t>10</w:t>
        </w:r>
      </w:hyperlink>
    </w:p>
    <w:p w14:paraId="6340A8B9" w14:textId="77777777" w:rsidR="00600D16" w:rsidRDefault="00000000" w:rsidP="00600D16">
      <w:pPr>
        <w:pStyle w:val="Obsah2"/>
      </w:pPr>
      <w:hyperlink w:anchor="_Toc23419324" w:history="1">
        <w:r w:rsidR="00600D16" w:rsidRPr="00220AE4">
          <w:rPr>
            <w:rStyle w:val="Hypertextovprepojenie"/>
            <w:b/>
            <w:color w:val="auto"/>
          </w:rPr>
          <w:t>21.</w:t>
        </w:r>
        <w:r w:rsidR="00600D16">
          <w:rPr>
            <w:rStyle w:val="Hypertextovprepojenie"/>
            <w:b/>
            <w:color w:val="auto"/>
          </w:rPr>
          <w:t>Vysvetľovanie</w:t>
        </w:r>
        <w:r w:rsidR="00600D16" w:rsidRPr="00220AE4">
          <w:rPr>
            <w:webHidden/>
          </w:rPr>
          <w:tab/>
        </w:r>
        <w:r w:rsidR="00600D16">
          <w:rPr>
            <w:webHidden/>
          </w:rPr>
          <w:t>11</w:t>
        </w:r>
      </w:hyperlink>
    </w:p>
    <w:p w14:paraId="4295AD1B" w14:textId="77777777" w:rsidR="00600D16" w:rsidRPr="009D41DE" w:rsidRDefault="00600D16" w:rsidP="00600D1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031EB955" w14:textId="77777777" w:rsidR="00600D16" w:rsidRPr="009D41DE" w:rsidRDefault="00600D16" w:rsidP="00600D1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4CB8A129" w14:textId="77777777" w:rsidR="00600D16" w:rsidRPr="009D41DE" w:rsidRDefault="00000000" w:rsidP="00600D16">
      <w:pPr>
        <w:pStyle w:val="Obsah2"/>
        <w:rPr>
          <w:rFonts w:eastAsiaTheme="minorEastAsia"/>
          <w:b/>
          <w:bCs/>
          <w:sz w:val="22"/>
          <w:szCs w:val="22"/>
        </w:rPr>
      </w:pPr>
      <w:hyperlink w:anchor="_Toc23419325" w:history="1">
        <w:r w:rsidR="00600D16" w:rsidRPr="009D41DE">
          <w:rPr>
            <w:rStyle w:val="Hypertextovprepojenie"/>
            <w:b/>
            <w:bCs/>
            <w:color w:val="auto"/>
          </w:rPr>
          <w:t>2</w:t>
        </w:r>
        <w:r w:rsidR="00600D16">
          <w:rPr>
            <w:rStyle w:val="Hypertextovprepojenie"/>
            <w:b/>
            <w:bCs/>
            <w:color w:val="auto"/>
          </w:rPr>
          <w:t>4</w:t>
        </w:r>
        <w:r w:rsidR="00600D16" w:rsidRPr="009D41DE">
          <w:rPr>
            <w:rStyle w:val="Hypertextovprepojenie"/>
            <w:b/>
            <w:bCs/>
            <w:color w:val="auto"/>
          </w:rPr>
          <w:t>.</w:t>
        </w:r>
        <w:r w:rsidR="00600D16">
          <w:rPr>
            <w:rStyle w:val="Hypertextovprepojenie"/>
            <w:b/>
            <w:bCs/>
            <w:color w:val="auto"/>
          </w:rPr>
          <w:t>Elektronická aukcia</w:t>
        </w:r>
        <w:r w:rsidR="00600D16" w:rsidRPr="009D41DE">
          <w:rPr>
            <w:b/>
            <w:bCs/>
            <w:webHidden/>
          </w:rPr>
          <w:tab/>
          <w:t>1</w:t>
        </w:r>
        <w:r w:rsidR="00600D16">
          <w:rPr>
            <w:b/>
            <w:bCs/>
            <w:webHidden/>
          </w:rPr>
          <w:t>2</w:t>
        </w:r>
      </w:hyperlink>
    </w:p>
    <w:p w14:paraId="620B6CF9" w14:textId="77777777" w:rsidR="00600D16" w:rsidRPr="00220AE4" w:rsidRDefault="00000000" w:rsidP="00600D16">
      <w:pPr>
        <w:pStyle w:val="Obsah2"/>
        <w:rPr>
          <w:rFonts w:eastAsiaTheme="minorEastAsia"/>
          <w:sz w:val="22"/>
          <w:szCs w:val="22"/>
        </w:rPr>
      </w:pPr>
      <w:hyperlink w:anchor="_Toc23419326" w:history="1">
        <w:r w:rsidR="00600D16" w:rsidRPr="00220AE4">
          <w:rPr>
            <w:rStyle w:val="Hypertextovprepojenie"/>
            <w:b/>
            <w:color w:val="auto"/>
          </w:rPr>
          <w:t>23.</w:t>
        </w:r>
        <w:r w:rsidR="00600D16" w:rsidRPr="000F7C92">
          <w:rPr>
            <w:rFonts w:eastAsiaTheme="minorEastAsia"/>
            <w:b/>
            <w:bCs/>
          </w:rPr>
          <w:t xml:space="preserve"> </w:t>
        </w:r>
        <w:r w:rsidR="00600D16" w:rsidRPr="009D41DE">
          <w:rPr>
            <w:rFonts w:eastAsiaTheme="minorEastAsia"/>
            <w:b/>
            <w:bCs/>
          </w:rPr>
          <w:t>Kritériá na vyhodnotenie ponúk a pravidlá ich uplatnenia.</w:t>
        </w:r>
        <w:r w:rsidR="00600D16" w:rsidRPr="00220AE4">
          <w:rPr>
            <w:rStyle w:val="Hypertextovprepojenie"/>
            <w:b/>
            <w:color w:val="auto"/>
          </w:rPr>
          <w:t>Subdodávatelia</w:t>
        </w:r>
        <w:r w:rsidR="00600D16" w:rsidRPr="00220AE4">
          <w:rPr>
            <w:webHidden/>
          </w:rPr>
          <w:tab/>
        </w:r>
        <w:r w:rsidR="00600D16">
          <w:rPr>
            <w:webHidden/>
          </w:rPr>
          <w:t>11</w:t>
        </w:r>
      </w:hyperlink>
    </w:p>
    <w:p w14:paraId="6B607D72" w14:textId="77777777" w:rsidR="00600D16" w:rsidRPr="00220AE4" w:rsidRDefault="00000000" w:rsidP="00600D16">
      <w:pPr>
        <w:pStyle w:val="Obsah2"/>
        <w:rPr>
          <w:rFonts w:eastAsiaTheme="minorEastAsia"/>
          <w:sz w:val="22"/>
          <w:szCs w:val="22"/>
        </w:rPr>
      </w:pPr>
      <w:hyperlink w:anchor="_Toc23419327" w:history="1">
        <w:r w:rsidR="00600D16" w:rsidRPr="00220AE4">
          <w:rPr>
            <w:rStyle w:val="Hypertextovprepojenie"/>
            <w:b/>
            <w:color w:val="auto"/>
          </w:rPr>
          <w:t>24.</w:t>
        </w:r>
        <w:r w:rsidR="00600D16">
          <w:rPr>
            <w:rStyle w:val="Hypertextovprepojenie"/>
            <w:b/>
            <w:color w:val="auto"/>
          </w:rPr>
          <w:t xml:space="preserve"> </w:t>
        </w:r>
        <w:r w:rsidR="00600D16" w:rsidRPr="000F7C92">
          <w:rPr>
            <w:rStyle w:val="Hypertextovprepojenie"/>
            <w:b/>
            <w:color w:val="auto"/>
          </w:rPr>
          <w:t>Informácia o výsledku vyhodnotenia ponúk a uzavretie zmluvy</w:t>
        </w:r>
        <w:r w:rsidR="00600D16" w:rsidRPr="00220AE4">
          <w:rPr>
            <w:webHidden/>
          </w:rPr>
          <w:tab/>
        </w:r>
        <w:r w:rsidR="00600D16">
          <w:rPr>
            <w:webHidden/>
          </w:rPr>
          <w:t>12</w:t>
        </w:r>
      </w:hyperlink>
    </w:p>
    <w:p w14:paraId="6FB97B51" w14:textId="77777777" w:rsidR="00600D16" w:rsidRPr="00220AE4" w:rsidRDefault="00000000" w:rsidP="00600D16">
      <w:pPr>
        <w:pStyle w:val="Obsah2"/>
        <w:rPr>
          <w:rFonts w:eastAsiaTheme="minorEastAsia"/>
          <w:sz w:val="22"/>
          <w:szCs w:val="22"/>
        </w:rPr>
      </w:pPr>
      <w:hyperlink w:anchor="_Toc23419328" w:history="1">
        <w:r w:rsidR="00600D16" w:rsidRPr="00220AE4">
          <w:rPr>
            <w:rStyle w:val="Hypertextovprepojenie"/>
            <w:b/>
            <w:color w:val="auto"/>
          </w:rPr>
          <w:t>25.</w:t>
        </w:r>
        <w:r w:rsidR="00600D16" w:rsidRPr="003210DE">
          <w:rPr>
            <w:rFonts w:ascii="Arial" w:hAnsi="Arial"/>
            <w:noProof w:val="0"/>
            <w:szCs w:val="24"/>
          </w:rPr>
          <w:t xml:space="preserve"> </w:t>
        </w:r>
        <w:r w:rsidR="00600D16" w:rsidRPr="003210DE">
          <w:rPr>
            <w:rStyle w:val="Hypertextovprepojenie"/>
            <w:b/>
            <w:color w:val="auto"/>
          </w:rPr>
          <w:t>Generálna klauzula</w:t>
        </w:r>
        <w:r w:rsidR="00600D16" w:rsidRPr="00220AE4">
          <w:rPr>
            <w:webHidden/>
          </w:rPr>
          <w:tab/>
        </w:r>
        <w:r w:rsidR="00600D16">
          <w:rPr>
            <w:webHidden/>
          </w:rPr>
          <w:t>15</w:t>
        </w:r>
      </w:hyperlink>
    </w:p>
    <w:p w14:paraId="39BCCAD6" w14:textId="77777777" w:rsidR="00600D16" w:rsidRPr="00220AE4" w:rsidRDefault="00000000" w:rsidP="00600D16">
      <w:pPr>
        <w:pStyle w:val="Obsah2"/>
        <w:rPr>
          <w:rFonts w:eastAsiaTheme="minorEastAsia"/>
          <w:sz w:val="22"/>
          <w:szCs w:val="22"/>
        </w:rPr>
      </w:pPr>
      <w:hyperlink w:anchor="_Toc23419329" w:history="1">
        <w:r w:rsidR="00600D16" w:rsidRPr="00220AE4">
          <w:rPr>
            <w:rStyle w:val="Hypertextovprepojenie"/>
            <w:b/>
            <w:color w:val="auto"/>
            <w:lang w:eastAsia="en-US"/>
          </w:rPr>
          <w:t>26</w:t>
        </w:r>
        <w:r w:rsidR="00600D16" w:rsidRPr="00220AE4">
          <w:rPr>
            <w:rStyle w:val="Hypertextovprepojenie"/>
            <w:b/>
            <w:i/>
            <w:color w:val="auto"/>
            <w:lang w:eastAsia="en-US"/>
          </w:rPr>
          <w:t>.  Prílo</w:t>
        </w:r>
        <w:r w:rsidR="00600D16">
          <w:rPr>
            <w:rStyle w:val="Hypertextovprepojenie"/>
            <w:b/>
            <w:i/>
            <w:color w:val="auto"/>
            <w:lang w:eastAsia="en-US"/>
          </w:rPr>
          <w:t>hy</w:t>
        </w:r>
        <w:r w:rsidR="00600D16" w:rsidRPr="00220AE4">
          <w:rPr>
            <w:webHidden/>
          </w:rPr>
          <w:tab/>
        </w:r>
        <w:r w:rsidR="00600D16">
          <w:rPr>
            <w:webHidden/>
          </w:rPr>
          <w:t>15</w:t>
        </w:r>
      </w:hyperlink>
    </w:p>
    <w:p w14:paraId="5AB54D96" w14:textId="77777777" w:rsidR="00DE3F08" w:rsidRDefault="00DE3F08" w:rsidP="00093758">
      <w:pPr>
        <w:pStyle w:val="Nadpis3"/>
        <w:numPr>
          <w:ilvl w:val="0"/>
          <w:numId w:val="0"/>
        </w:numPr>
        <w:ind w:left="360"/>
        <w:rPr>
          <w:rFonts w:ascii="Times New Roman" w:hAnsi="Times New Roman"/>
          <w:sz w:val="20"/>
          <w:szCs w:val="20"/>
        </w:rPr>
      </w:pPr>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503DF656"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CF7C9B">
        <w:rPr>
          <w:rFonts w:ascii="Times New Roman" w:hAnsi="Times New Roman"/>
          <w:b/>
        </w:rPr>
        <w:t>Liečivá pre muskuloskeletálny systém</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32EA1F9D"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F7C9B">
        <w:rPr>
          <w:rFonts w:ascii="Times New Roman" w:hAnsi="Times New Roman"/>
          <w:szCs w:val="20"/>
        </w:rPr>
        <w:t>33632000-9</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1DA61226"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54B5F66C" w14:textId="77777777" w:rsidR="004622A0" w:rsidRDefault="004622A0" w:rsidP="004622A0">
      <w:pPr>
        <w:rPr>
          <w:rFonts w:ascii="Times New Roman" w:hAnsi="Times New Roman"/>
          <w:b/>
          <w:iCs/>
          <w:sz w:val="24"/>
        </w:rPr>
      </w:pPr>
      <w:r>
        <w:rPr>
          <w:rFonts w:ascii="Times New Roman" w:hAnsi="Times New Roman"/>
          <w:b/>
          <w:iCs/>
          <w:sz w:val="24"/>
        </w:rPr>
        <w:t xml:space="preserve">1.časť:   25644,4000 </w:t>
      </w:r>
      <w:r w:rsidRPr="009B5F1F">
        <w:rPr>
          <w:rFonts w:ascii="Times New Roman" w:hAnsi="Times New Roman"/>
          <w:b/>
          <w:iCs/>
          <w:sz w:val="24"/>
        </w:rPr>
        <w:t>EUR bez DPH</w:t>
      </w:r>
    </w:p>
    <w:p w14:paraId="63BB680C" w14:textId="77777777" w:rsidR="004622A0" w:rsidRDefault="004622A0" w:rsidP="004622A0">
      <w:pPr>
        <w:rPr>
          <w:rFonts w:ascii="Times New Roman" w:hAnsi="Times New Roman"/>
          <w:b/>
          <w:iCs/>
          <w:sz w:val="24"/>
        </w:rPr>
      </w:pPr>
      <w:r>
        <w:rPr>
          <w:rFonts w:ascii="Times New Roman" w:hAnsi="Times New Roman"/>
          <w:b/>
          <w:iCs/>
          <w:sz w:val="24"/>
        </w:rPr>
        <w:t>2.časť:   10217,3000 EUR bez DPH</w:t>
      </w:r>
    </w:p>
    <w:p w14:paraId="279373E5" w14:textId="77777777" w:rsidR="004622A0" w:rsidRDefault="004622A0" w:rsidP="004622A0">
      <w:pPr>
        <w:rPr>
          <w:rFonts w:ascii="Times New Roman" w:hAnsi="Times New Roman"/>
          <w:b/>
          <w:iCs/>
          <w:sz w:val="24"/>
        </w:rPr>
      </w:pPr>
      <w:r>
        <w:rPr>
          <w:rFonts w:ascii="Times New Roman" w:hAnsi="Times New Roman"/>
          <w:b/>
          <w:iCs/>
          <w:sz w:val="24"/>
        </w:rPr>
        <w:t xml:space="preserve">3.časť:     6671,0000 EUR bez DPH   </w:t>
      </w:r>
    </w:p>
    <w:p w14:paraId="5ED1E25E" w14:textId="77777777" w:rsidR="004622A0" w:rsidRDefault="004622A0" w:rsidP="004622A0">
      <w:pPr>
        <w:rPr>
          <w:rFonts w:ascii="Times New Roman" w:hAnsi="Times New Roman"/>
          <w:b/>
          <w:iCs/>
          <w:sz w:val="24"/>
        </w:rPr>
      </w:pPr>
      <w:r>
        <w:rPr>
          <w:rFonts w:ascii="Times New Roman" w:hAnsi="Times New Roman"/>
          <w:b/>
          <w:iCs/>
          <w:sz w:val="24"/>
        </w:rPr>
        <w:t>4.časť: 261780,0000 EUR bez DPH</w:t>
      </w:r>
    </w:p>
    <w:p w14:paraId="34E6299C" w14:textId="77777777" w:rsidR="004622A0" w:rsidRDefault="004622A0" w:rsidP="004622A0">
      <w:pPr>
        <w:rPr>
          <w:rFonts w:ascii="Times New Roman" w:hAnsi="Times New Roman"/>
          <w:b/>
          <w:iCs/>
          <w:sz w:val="24"/>
        </w:rPr>
      </w:pPr>
      <w:r>
        <w:rPr>
          <w:rFonts w:ascii="Times New Roman" w:hAnsi="Times New Roman"/>
          <w:b/>
          <w:iCs/>
          <w:sz w:val="24"/>
        </w:rPr>
        <w:t>5.časť:   14875,0000 EUR bez DPH</w:t>
      </w:r>
    </w:p>
    <w:p w14:paraId="7CD70A01" w14:textId="77777777" w:rsidR="004622A0" w:rsidRDefault="004622A0" w:rsidP="004622A0">
      <w:pPr>
        <w:rPr>
          <w:rFonts w:ascii="Times New Roman" w:hAnsi="Times New Roman"/>
          <w:b/>
          <w:iCs/>
          <w:sz w:val="24"/>
        </w:rPr>
      </w:pPr>
      <w:r>
        <w:rPr>
          <w:rFonts w:ascii="Times New Roman" w:hAnsi="Times New Roman"/>
          <w:b/>
          <w:iCs/>
          <w:sz w:val="24"/>
        </w:rPr>
        <w:t>6.časť:   12000,0000 EUR bez DPH</w:t>
      </w:r>
    </w:p>
    <w:p w14:paraId="60A7BB60" w14:textId="77777777" w:rsidR="004622A0" w:rsidRDefault="004622A0" w:rsidP="004622A0">
      <w:pPr>
        <w:rPr>
          <w:rFonts w:ascii="Times New Roman" w:hAnsi="Times New Roman"/>
          <w:b/>
          <w:iCs/>
          <w:sz w:val="24"/>
        </w:rPr>
      </w:pPr>
      <w:r>
        <w:rPr>
          <w:rFonts w:ascii="Times New Roman" w:hAnsi="Times New Roman"/>
          <w:b/>
          <w:iCs/>
          <w:sz w:val="24"/>
        </w:rPr>
        <w:t>7.časť:     3118,6500 EUR bez DPH</w:t>
      </w:r>
    </w:p>
    <w:p w14:paraId="527735C7" w14:textId="77777777" w:rsidR="00E84944" w:rsidRPr="00A923A1" w:rsidRDefault="00E84944" w:rsidP="00E84944">
      <w:pPr>
        <w:rPr>
          <w:rFonts w:ascii="Times New Roman" w:hAnsi="Times New Roman"/>
          <w:b/>
          <w:iCs/>
          <w:sz w:val="24"/>
        </w:rPr>
      </w:pPr>
      <w:r>
        <w:rPr>
          <w:rFonts w:ascii="Times New Roman" w:hAnsi="Times New Roman"/>
          <w:b/>
          <w:iCs/>
          <w:sz w:val="24"/>
        </w:rPr>
        <w:t xml:space="preserve">    </w:t>
      </w:r>
    </w:p>
    <w:p w14:paraId="0712F760" w14:textId="77777777" w:rsidR="00E84944" w:rsidRPr="00B4714A" w:rsidRDefault="00E84944"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26E3DA3F"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4622A0">
        <w:rPr>
          <w:rFonts w:ascii="Times New Roman" w:hAnsi="Times New Roman"/>
          <w:sz w:val="22"/>
          <w:szCs w:val="22"/>
        </w:rPr>
        <w:t>12</w:t>
      </w:r>
      <w:r w:rsidR="00D067A2">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lastRenderedPageBreak/>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w:t>
      </w:r>
      <w:r w:rsidRPr="001911DF">
        <w:rPr>
          <w:rFonts w:ascii="Times New Roman" w:hAnsi="Times New Roman"/>
          <w:sz w:val="22"/>
          <w:szCs w:val="22"/>
        </w:rPr>
        <w:lastRenderedPageBreak/>
        <w:t xml:space="preserve">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3E4BA435"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76E7520D" w14:textId="77777777" w:rsidR="00EB558A" w:rsidRPr="00070EDA" w:rsidRDefault="00EB558A" w:rsidP="00EB558A">
      <w:pPr>
        <w:spacing w:line="276" w:lineRule="auto"/>
        <w:rPr>
          <w:rFonts w:asciiTheme="minorHAnsi" w:eastAsia="TimesNewRomanPSMT" w:hAnsiTheme="minorHAnsi" w:cstheme="minorHAnsi"/>
          <w:color w:val="000000"/>
          <w:sz w:val="22"/>
          <w:szCs w:val="22"/>
        </w:rPr>
      </w:pPr>
    </w:p>
    <w:p w14:paraId="2343C3E5" w14:textId="77777777" w:rsidR="00EB558A" w:rsidRPr="00070EDA" w:rsidRDefault="00EB558A" w:rsidP="00EB558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79BEF5BD" w14:textId="77777777" w:rsidR="00EB558A" w:rsidRPr="00070EDA" w:rsidRDefault="00EB558A" w:rsidP="00EB558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2DE653CA" w14:textId="77777777" w:rsidR="00EB558A" w:rsidRPr="00070EDA" w:rsidRDefault="00EB558A" w:rsidP="00EB558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7829373C" w14:textId="77777777" w:rsidR="00EB558A" w:rsidRPr="00070EDA" w:rsidRDefault="00EB558A" w:rsidP="00EB558A">
      <w:pPr>
        <w:spacing w:line="276" w:lineRule="auto"/>
        <w:rPr>
          <w:rFonts w:asciiTheme="minorHAnsi" w:hAnsiTheme="minorHAnsi" w:cstheme="minorHAnsi"/>
          <w:strike/>
          <w:sz w:val="22"/>
          <w:szCs w:val="22"/>
          <w:highlight w:val="lightGray"/>
        </w:rPr>
      </w:pPr>
    </w:p>
    <w:p w14:paraId="6038E43E"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01990AA6" w14:textId="77777777" w:rsidR="00EB558A" w:rsidRPr="00070EDA" w:rsidRDefault="00EB558A" w:rsidP="00EB558A">
      <w:pPr>
        <w:spacing w:line="276" w:lineRule="auto"/>
        <w:rPr>
          <w:rFonts w:asciiTheme="minorHAnsi" w:hAnsiTheme="minorHAnsi" w:cstheme="minorHAnsi"/>
          <w:sz w:val="22"/>
          <w:szCs w:val="22"/>
        </w:rPr>
      </w:pPr>
    </w:p>
    <w:p w14:paraId="673A39E6" w14:textId="77777777" w:rsidR="00EB558A" w:rsidRPr="00070EDA" w:rsidRDefault="00EB558A" w:rsidP="00EB558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3FCC2437" w14:textId="77777777" w:rsidR="00EB558A" w:rsidRPr="00070EDA" w:rsidRDefault="00EB558A" w:rsidP="00EB558A">
      <w:pPr>
        <w:pStyle w:val="Odsekzoznamu"/>
        <w:tabs>
          <w:tab w:val="left" w:pos="426"/>
        </w:tabs>
        <w:ind w:left="0"/>
        <w:jc w:val="both"/>
        <w:rPr>
          <w:rFonts w:asciiTheme="minorHAnsi" w:hAnsiTheme="minorHAnsi" w:cstheme="minorHAnsi"/>
          <w:sz w:val="22"/>
          <w:szCs w:val="22"/>
          <w:highlight w:val="cyan"/>
        </w:rPr>
      </w:pPr>
    </w:p>
    <w:p w14:paraId="15963A5C"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F498FDF" w14:textId="77777777" w:rsidR="00EB558A" w:rsidRPr="00070EDA" w:rsidRDefault="00EB558A" w:rsidP="00EB558A">
      <w:pPr>
        <w:spacing w:line="276" w:lineRule="auto"/>
        <w:rPr>
          <w:rFonts w:asciiTheme="minorHAnsi" w:hAnsiTheme="minorHAnsi" w:cstheme="minorHAnsi"/>
          <w:sz w:val="22"/>
          <w:szCs w:val="22"/>
        </w:rPr>
      </w:pPr>
    </w:p>
    <w:p w14:paraId="04213D8D"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A42EE0B" w14:textId="77777777" w:rsidR="00EB558A" w:rsidRPr="00070EDA" w:rsidRDefault="00EB558A" w:rsidP="00EB558A">
      <w:pPr>
        <w:spacing w:line="276" w:lineRule="auto"/>
        <w:rPr>
          <w:rFonts w:asciiTheme="minorHAnsi" w:hAnsiTheme="minorHAnsi" w:cstheme="minorHAnsi"/>
          <w:sz w:val="22"/>
          <w:szCs w:val="22"/>
        </w:rPr>
      </w:pPr>
    </w:p>
    <w:p w14:paraId="1332D33F" w14:textId="77777777" w:rsidR="00407AA1" w:rsidRDefault="00407AA1" w:rsidP="00407AA1">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19CB7245" w14:textId="77777777" w:rsidR="00EB558A" w:rsidRPr="00070EDA" w:rsidRDefault="00EB558A" w:rsidP="00EB558A">
      <w:pPr>
        <w:spacing w:line="276" w:lineRule="auto"/>
        <w:rPr>
          <w:rFonts w:asciiTheme="minorHAnsi" w:hAnsiTheme="minorHAnsi" w:cstheme="minorHAnsi"/>
          <w:sz w:val="22"/>
          <w:szCs w:val="22"/>
        </w:rPr>
      </w:pPr>
    </w:p>
    <w:p w14:paraId="2CEB8DB8" w14:textId="77777777" w:rsidR="00EB558A" w:rsidRPr="00070EDA" w:rsidRDefault="00EB558A" w:rsidP="00EB558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63A89EB6" w14:textId="77777777" w:rsidR="00EB558A" w:rsidRPr="00070EDA" w:rsidRDefault="00EB558A" w:rsidP="00EB558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56DDA846" w14:textId="77777777" w:rsidR="00EB558A" w:rsidRPr="00070EDA" w:rsidRDefault="00EB558A" w:rsidP="00EB558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108D5E7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1A6D0D2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649EBE40"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38F58DB8"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F4A97F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2BB4F3E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57FE244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4BC2DAE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D55070C"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11FC0824"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D10A1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4A7C28D5" w14:textId="77777777" w:rsidR="00EB558A" w:rsidRPr="00070EDA" w:rsidRDefault="00EB558A" w:rsidP="00EB558A">
      <w:pPr>
        <w:spacing w:line="276" w:lineRule="auto"/>
        <w:rPr>
          <w:rFonts w:asciiTheme="minorHAnsi" w:hAnsiTheme="minorHAnsi" w:cstheme="minorHAnsi"/>
          <w:sz w:val="22"/>
          <w:szCs w:val="22"/>
        </w:rPr>
      </w:pPr>
    </w:p>
    <w:p w14:paraId="18375A7C" w14:textId="77777777" w:rsidR="00EB558A" w:rsidRPr="00070EDA" w:rsidRDefault="00EB558A" w:rsidP="00EB558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E96F821"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20B9BC7E" w14:textId="77777777" w:rsidR="00EB558A" w:rsidRPr="00070EDA" w:rsidRDefault="00EB558A" w:rsidP="00EB558A">
      <w:pPr>
        <w:autoSpaceDE w:val="0"/>
        <w:autoSpaceDN w:val="0"/>
        <w:adjustRightInd w:val="0"/>
        <w:jc w:val="left"/>
        <w:rPr>
          <w:rFonts w:asciiTheme="minorHAnsi" w:eastAsia="Calibri" w:hAnsiTheme="minorHAnsi" w:cstheme="minorHAnsi"/>
          <w:sz w:val="22"/>
          <w:szCs w:val="22"/>
        </w:rPr>
      </w:pPr>
    </w:p>
    <w:p w14:paraId="1080F196"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DC0C9BB" w14:textId="77777777" w:rsidR="00EB558A" w:rsidRPr="00070EDA" w:rsidRDefault="00EB558A" w:rsidP="00EB558A">
      <w:pPr>
        <w:autoSpaceDE w:val="0"/>
        <w:autoSpaceDN w:val="0"/>
        <w:adjustRightInd w:val="0"/>
        <w:jc w:val="left"/>
        <w:rPr>
          <w:rFonts w:asciiTheme="minorHAnsi" w:eastAsia="Calibri" w:hAnsiTheme="minorHAnsi" w:cstheme="minorHAnsi"/>
          <w:sz w:val="22"/>
          <w:szCs w:val="22"/>
        </w:rPr>
      </w:pPr>
    </w:p>
    <w:p w14:paraId="2807D44A"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F67EE0D"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61245A63"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w:t>
      </w:r>
      <w:r w:rsidRPr="00070EDA">
        <w:rPr>
          <w:rFonts w:asciiTheme="minorHAnsi" w:eastAsia="Calibri" w:hAnsiTheme="minorHAnsi" w:cstheme="minorHAnsi"/>
          <w:sz w:val="22"/>
          <w:szCs w:val="22"/>
        </w:rPr>
        <w:lastRenderedPageBreak/>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4AAC76DC"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558A92B"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55EA8E4"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B821D99"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9B67091"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709396D"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7ECE0C5"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757794B2" w14:textId="77777777" w:rsidR="00EB558A" w:rsidRPr="00070EDA" w:rsidRDefault="00EB558A" w:rsidP="00EB558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790542C" w14:textId="77777777" w:rsidR="00EB558A" w:rsidRPr="00070EDA" w:rsidRDefault="00EB558A" w:rsidP="00EB558A">
      <w:pPr>
        <w:pStyle w:val="Odsekzoznamu"/>
        <w:autoSpaceDE w:val="0"/>
        <w:autoSpaceDN w:val="0"/>
        <w:adjustRightInd w:val="0"/>
        <w:ind w:left="720"/>
        <w:jc w:val="both"/>
        <w:rPr>
          <w:rFonts w:asciiTheme="minorHAnsi" w:hAnsiTheme="minorHAnsi" w:cstheme="minorHAnsi"/>
          <w:b/>
          <w:sz w:val="22"/>
          <w:szCs w:val="22"/>
        </w:rPr>
      </w:pPr>
    </w:p>
    <w:p w14:paraId="46F9D7DA"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79DAA50D" w14:textId="77777777" w:rsidR="00EB558A" w:rsidRPr="00070EDA" w:rsidRDefault="00EB558A" w:rsidP="00EB558A">
      <w:pPr>
        <w:keepNext/>
        <w:keepLines/>
        <w:spacing w:before="40" w:line="276" w:lineRule="auto"/>
        <w:ind w:left="502"/>
        <w:outlineLvl w:val="1"/>
        <w:rPr>
          <w:rFonts w:asciiTheme="minorHAnsi" w:hAnsiTheme="minorHAnsi" w:cstheme="minorHAnsi"/>
          <w:b/>
          <w:sz w:val="22"/>
          <w:szCs w:val="22"/>
        </w:rPr>
      </w:pPr>
    </w:p>
    <w:p w14:paraId="53FAE247"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5AC78FB0"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34E0413C" w14:textId="57FC0F25" w:rsidR="00EB558A" w:rsidRPr="00070EDA" w:rsidRDefault="00EB558A" w:rsidP="00EB558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9B540E">
        <w:rPr>
          <w:rFonts w:asciiTheme="minorHAnsi" w:hAnsiTheme="minorHAnsi" w:cstheme="minorHAnsi"/>
          <w:b/>
          <w:sz w:val="22"/>
          <w:szCs w:val="22"/>
        </w:rPr>
        <w:t>30.06.2023</w:t>
      </w:r>
      <w:r w:rsidRPr="00070EDA">
        <w:rPr>
          <w:rFonts w:asciiTheme="minorHAnsi" w:hAnsiTheme="minorHAnsi" w:cstheme="minorHAnsi"/>
          <w:b/>
          <w:sz w:val="22"/>
          <w:szCs w:val="22"/>
        </w:rPr>
        <w:t xml:space="preserve"> do </w:t>
      </w:r>
      <w:r w:rsidR="00600D16">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A335CA9"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3F768C45" w14:textId="77777777" w:rsidR="00EB558A" w:rsidRPr="00070EDA" w:rsidRDefault="00EB558A" w:rsidP="00EB558A">
      <w:pPr>
        <w:spacing w:line="276" w:lineRule="auto"/>
        <w:rPr>
          <w:rFonts w:asciiTheme="minorHAnsi" w:hAnsiTheme="minorHAnsi" w:cstheme="minorHAnsi"/>
          <w:sz w:val="22"/>
          <w:szCs w:val="22"/>
        </w:rPr>
      </w:pPr>
    </w:p>
    <w:p w14:paraId="41F01AD8"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334299E6"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1D16E6B2" w14:textId="7856C759"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B57E6D">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129D01D9" w14:textId="77777777" w:rsidR="00EB558A" w:rsidRPr="00070EDA" w:rsidRDefault="00EB558A" w:rsidP="00EB558A">
      <w:pPr>
        <w:spacing w:line="276" w:lineRule="auto"/>
        <w:rPr>
          <w:rFonts w:asciiTheme="minorHAnsi" w:hAnsiTheme="minorHAnsi" w:cstheme="minorHAnsi"/>
          <w:sz w:val="22"/>
          <w:szCs w:val="22"/>
        </w:rPr>
      </w:pPr>
    </w:p>
    <w:p w14:paraId="2C5CAABD" w14:textId="77777777" w:rsidR="00EB558A" w:rsidRPr="00070EDA" w:rsidRDefault="00EB558A" w:rsidP="00EB558A">
      <w:pPr>
        <w:autoSpaceDE w:val="0"/>
        <w:autoSpaceDN w:val="0"/>
        <w:adjustRightInd w:val="0"/>
        <w:spacing w:line="276" w:lineRule="auto"/>
        <w:rPr>
          <w:rFonts w:asciiTheme="minorHAnsi" w:hAnsiTheme="minorHAnsi" w:cstheme="minorHAnsi"/>
          <w:b/>
          <w:color w:val="000000"/>
          <w:sz w:val="22"/>
          <w:szCs w:val="22"/>
        </w:rPr>
      </w:pPr>
    </w:p>
    <w:p w14:paraId="7A0EE461"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285C67A2" w14:textId="77777777" w:rsidR="00EB558A" w:rsidRPr="00070EDA" w:rsidRDefault="00EB558A" w:rsidP="00EB558A">
      <w:pPr>
        <w:spacing w:line="276" w:lineRule="auto"/>
        <w:rPr>
          <w:rFonts w:asciiTheme="minorHAnsi" w:hAnsiTheme="minorHAnsi" w:cstheme="minorHAnsi"/>
          <w:sz w:val="22"/>
          <w:szCs w:val="22"/>
        </w:rPr>
      </w:pPr>
    </w:p>
    <w:p w14:paraId="7C007835" w14:textId="77777777" w:rsidR="00EB558A" w:rsidRPr="00070EDA" w:rsidRDefault="00EB558A" w:rsidP="00EB558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9107899" w14:textId="77777777" w:rsidR="00EB558A" w:rsidRPr="00070EDA" w:rsidRDefault="00EB558A" w:rsidP="00EB558A">
      <w:pPr>
        <w:spacing w:line="276" w:lineRule="auto"/>
        <w:rPr>
          <w:rFonts w:asciiTheme="minorHAnsi" w:hAnsiTheme="minorHAnsi" w:cstheme="minorHAnsi"/>
          <w:sz w:val="22"/>
          <w:szCs w:val="22"/>
        </w:rPr>
      </w:pPr>
    </w:p>
    <w:p w14:paraId="47EF5C6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44B98914" w14:textId="77777777" w:rsidR="00EB558A" w:rsidRPr="00070EDA" w:rsidRDefault="00EB558A" w:rsidP="00EB558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CCCA90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7DF099"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6484031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377827CF" w14:textId="77777777" w:rsidR="00EB558A" w:rsidRPr="00070EDA" w:rsidRDefault="00EB558A" w:rsidP="00EB558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79BF37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54D8BA3B"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96D4FA3"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1194F0C4"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19E54CC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CBFED6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3A0434BB"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E67C45F"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7DE5539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61C3C07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DBB402A"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399682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2F3E1C7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CD6580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45FB956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5F9F654F"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0FE803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3E8867E9" w14:textId="77777777" w:rsidR="00EB558A" w:rsidRPr="00070EDA" w:rsidRDefault="00EB558A" w:rsidP="00EB558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12073183" w14:textId="77777777" w:rsidR="00EB558A" w:rsidRPr="00070EDA" w:rsidRDefault="00EB558A" w:rsidP="00EB558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90321B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30587E"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1BFC7C6"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355F9CEB"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3013C0B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D5C338" w14:textId="77777777" w:rsidR="00EB558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23AEE36F"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757D3A0"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p>
    <w:p w14:paraId="4F5E45E0"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6EAB9307"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734643C"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3FF632D4"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6308D178"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6458DC5B"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00A8140"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E0D473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0E7125EE"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5C8CA25"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22FFA72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BBBE4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180B94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251F904"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DCB0F4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21513B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DA345C6"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7BB8B065"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7540002"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6C914D8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1D58172D"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577DD8D0"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11F377A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41540C"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1942342B"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D80700"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9915960" w14:textId="77777777" w:rsidR="00EB558A" w:rsidRPr="00070ED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681E9190" w14:textId="77777777" w:rsidR="00EB558A" w:rsidRPr="00070ED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p>
    <w:p w14:paraId="77C32B68"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15653CC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D96BD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B0B173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13872381"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4269C303"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E6B17F0"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D8247D4"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2A0A4A6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7D47E8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E079EBE"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6561CFB7"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746A808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34D1040C"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1950DE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5E437D68"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5E2EEFD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49B43558"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16F3ED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43C9CD90"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2FDFEDE5" w14:textId="77777777" w:rsidR="00EB558A" w:rsidRPr="00070EDA" w:rsidRDefault="00EB558A" w:rsidP="00EB558A">
      <w:pPr>
        <w:spacing w:line="276" w:lineRule="auto"/>
        <w:rPr>
          <w:rFonts w:asciiTheme="minorHAnsi" w:hAnsiTheme="minorHAnsi" w:cstheme="minorHAnsi"/>
          <w:sz w:val="22"/>
          <w:szCs w:val="22"/>
        </w:rPr>
      </w:pPr>
    </w:p>
    <w:p w14:paraId="3CB64933" w14:textId="77777777" w:rsidR="00EB558A" w:rsidRPr="00070EDA" w:rsidRDefault="00EB558A" w:rsidP="00EB558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8230FA8" w14:textId="77777777" w:rsidR="00EB558A" w:rsidRPr="00070EDA" w:rsidRDefault="00EB558A" w:rsidP="00EB558A">
      <w:pPr>
        <w:spacing w:line="276" w:lineRule="auto"/>
        <w:rPr>
          <w:rFonts w:asciiTheme="minorHAnsi" w:hAnsiTheme="minorHAnsi" w:cstheme="minorHAnsi"/>
          <w:sz w:val="22"/>
          <w:szCs w:val="22"/>
        </w:rPr>
      </w:pPr>
    </w:p>
    <w:p w14:paraId="341C699D"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410C6DBF"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4DB1DB1"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350ED8F5" w14:textId="77777777" w:rsidR="00EB558A" w:rsidRPr="00070EDA" w:rsidRDefault="00EB558A" w:rsidP="00EB558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5A5F7B0"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Google Chrome.</w:t>
      </w:r>
    </w:p>
    <w:p w14:paraId="1B1BD5C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15E43D82" w14:textId="4923A86A"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4622A0">
        <w:rPr>
          <w:rFonts w:asciiTheme="minorHAnsi" w:hAnsiTheme="minorHAnsi" w:cstheme="minorHAnsi"/>
          <w:color w:val="000000"/>
          <w:sz w:val="22"/>
          <w:szCs w:val="22"/>
        </w:rPr>
        <w:t>6 dní pred lehotou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0186962"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38FC78A"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6DE6EB8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EE741C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18D3937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7CCEEB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5BEF661B"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0A2D0269" w14:textId="1E4E8D01" w:rsidR="00EB558A" w:rsidRPr="00070EDA" w:rsidRDefault="00EB558A" w:rsidP="00EB558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9B540E">
        <w:rPr>
          <w:rFonts w:asciiTheme="minorHAnsi" w:eastAsia="TimesNewRomanPSMT" w:hAnsiTheme="minorHAnsi" w:cstheme="minorHAnsi"/>
          <w:color w:val="000000"/>
          <w:sz w:val="22"/>
          <w:szCs w:val="22"/>
        </w:rPr>
        <w:t>30.06.2023</w:t>
      </w:r>
      <w:r w:rsidR="00600D16">
        <w:rPr>
          <w:rFonts w:asciiTheme="minorHAnsi" w:eastAsia="TimesNewRomanPSMT" w:hAnsiTheme="minorHAnsi" w:cstheme="minorHAnsi"/>
          <w:color w:val="000000"/>
          <w:sz w:val="22"/>
          <w:szCs w:val="22"/>
        </w:rPr>
        <w:t xml:space="preserve"> o</w:t>
      </w:r>
      <w:r w:rsidR="009B540E">
        <w:rPr>
          <w:rFonts w:asciiTheme="minorHAnsi" w:eastAsia="TimesNewRomanPSMT" w:hAnsiTheme="minorHAnsi" w:cstheme="minorHAnsi"/>
          <w:color w:val="000000"/>
          <w:sz w:val="22"/>
          <w:szCs w:val="22"/>
        </w:rPr>
        <w:t> 09,10</w:t>
      </w:r>
      <w:r w:rsidR="00600D16">
        <w:rPr>
          <w:rFonts w:asciiTheme="minorHAnsi" w:eastAsia="TimesNewRomanPSMT" w:hAnsiTheme="minorHAnsi" w:cstheme="minorHAnsi"/>
          <w:color w:val="000000"/>
          <w:sz w:val="22"/>
          <w:szCs w:val="22"/>
        </w:rPr>
        <w:t xml:space="preserve"> hodine</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7BC23F7F"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660AE4AB"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AF365F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69A7EA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1FF9BE09"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AFC325D" w14:textId="77777777" w:rsidR="00EB558A" w:rsidRPr="00DF626D" w:rsidRDefault="00EB558A" w:rsidP="00EB558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4825047C"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F29D5B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12F806E7"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502D7B5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7BE1DE58"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31BCE15"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7CBDB5B2"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4F0651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65635E99" w14:textId="77777777" w:rsidR="00EB558A" w:rsidRPr="00DF626D" w:rsidRDefault="00EB558A" w:rsidP="00EB558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303110B7"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655AFCFE"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6EA8852C" w14:textId="77777777" w:rsidR="00EB558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5209CE36"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5D38D6BD"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68930ACB"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6C11EA6E"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065B7241"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7D3AD77D" w14:textId="18FC11A1" w:rsidR="00EB558A" w:rsidRDefault="00EB558A" w:rsidP="00EB558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193D18A5" w14:textId="57E72C89" w:rsidR="00771168" w:rsidRDefault="00771168" w:rsidP="00EB558A">
      <w:pPr>
        <w:spacing w:after="120"/>
        <w:rPr>
          <w:rFonts w:asciiTheme="minorHAnsi" w:hAnsiTheme="minorHAnsi" w:cstheme="minorHAnsi"/>
          <w:sz w:val="22"/>
          <w:szCs w:val="22"/>
        </w:rPr>
      </w:pPr>
    </w:p>
    <w:p w14:paraId="09010338"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06E51ECA" w14:textId="77777777" w:rsidR="00EB558A" w:rsidRPr="00070EDA" w:rsidRDefault="00EB558A" w:rsidP="00EB558A">
      <w:pPr>
        <w:spacing w:line="276" w:lineRule="auto"/>
        <w:rPr>
          <w:rFonts w:asciiTheme="minorHAnsi" w:hAnsiTheme="minorHAnsi" w:cstheme="minorHAnsi"/>
          <w:color w:val="000000"/>
          <w:sz w:val="22"/>
          <w:szCs w:val="22"/>
        </w:rPr>
      </w:pPr>
    </w:p>
    <w:p w14:paraId="1EDADBA4" w14:textId="77777777" w:rsidR="00EB558A" w:rsidRPr="00A948B0" w:rsidRDefault="00EB558A" w:rsidP="00EB558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4D28D527"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32862A50"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011FD2D"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D2A9771"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0099B3"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0154516"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B084DC2" w14:textId="77777777" w:rsidR="00EB558A" w:rsidRPr="00070EDA" w:rsidRDefault="00EB558A" w:rsidP="00EB558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089BF38E" w14:textId="77777777" w:rsidR="00EB558A" w:rsidRPr="00070EDA" w:rsidRDefault="00EB558A" w:rsidP="00EB558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61DB4D99" w14:textId="77777777" w:rsidR="00EB558A" w:rsidRPr="00070EDA" w:rsidRDefault="00EB558A" w:rsidP="00EB558A">
      <w:pPr>
        <w:autoSpaceDE w:val="0"/>
        <w:adjustRightInd w:val="0"/>
        <w:jc w:val="left"/>
        <w:rPr>
          <w:rFonts w:asciiTheme="minorHAnsi" w:hAnsiTheme="minorHAnsi" w:cstheme="minorHAnsi"/>
          <w:sz w:val="22"/>
          <w:szCs w:val="22"/>
        </w:rPr>
      </w:pPr>
    </w:p>
    <w:p w14:paraId="353CDD92" w14:textId="77777777" w:rsidR="00EB558A" w:rsidRPr="00070EDA" w:rsidRDefault="00EB558A" w:rsidP="00EB558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7B0CEE98" w14:textId="77777777" w:rsidR="00EB558A" w:rsidRPr="00070EDA" w:rsidRDefault="00EB558A" w:rsidP="00EB558A">
      <w:pPr>
        <w:autoSpaceDE w:val="0"/>
        <w:autoSpaceDN w:val="0"/>
        <w:rPr>
          <w:rFonts w:asciiTheme="minorHAnsi" w:hAnsiTheme="minorHAnsi" w:cstheme="minorHAnsi"/>
          <w:color w:val="000000"/>
          <w:sz w:val="22"/>
          <w:szCs w:val="22"/>
        </w:rPr>
      </w:pPr>
    </w:p>
    <w:p w14:paraId="69259B68"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62C7D8C5"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27D3DE4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603F68F"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61168378"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37BE8349"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22BF688E"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41ACBAE"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33049F9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536C15D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748F923A"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42E9BE32"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A2A4524" w14:textId="77777777" w:rsidR="00EB558A" w:rsidRPr="00070EDA" w:rsidRDefault="00EB558A" w:rsidP="00EB558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02AB3CBD"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7E45DD26"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5941E760" w14:textId="77777777" w:rsidR="00EB558A" w:rsidRPr="00070EDA" w:rsidRDefault="00EB558A" w:rsidP="00EB558A">
      <w:pPr>
        <w:rPr>
          <w:rFonts w:asciiTheme="minorHAnsi" w:hAnsiTheme="minorHAnsi" w:cstheme="minorHAnsi"/>
          <w:sz w:val="22"/>
          <w:szCs w:val="22"/>
        </w:rPr>
      </w:pPr>
    </w:p>
    <w:p w14:paraId="50564649" w14:textId="77777777" w:rsidR="00EB558A" w:rsidRPr="00070EDA" w:rsidRDefault="00EB558A" w:rsidP="00EB558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18D33464" w14:textId="77777777" w:rsidR="00EB558A" w:rsidRPr="00070EDA" w:rsidRDefault="00EB558A" w:rsidP="00EB558A">
      <w:pPr>
        <w:rPr>
          <w:rFonts w:asciiTheme="minorHAnsi" w:hAnsiTheme="minorHAnsi" w:cstheme="minorHAnsi"/>
          <w:sz w:val="22"/>
          <w:szCs w:val="22"/>
        </w:rPr>
      </w:pPr>
    </w:p>
    <w:p w14:paraId="798D99F2"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857CCE7" w14:textId="77777777" w:rsidR="00EB558A" w:rsidRPr="00070EDA" w:rsidRDefault="00EB558A" w:rsidP="00EB558A">
      <w:pPr>
        <w:rPr>
          <w:rFonts w:asciiTheme="minorHAnsi" w:hAnsiTheme="minorHAnsi" w:cstheme="minorHAnsi"/>
          <w:sz w:val="22"/>
          <w:szCs w:val="22"/>
        </w:rPr>
      </w:pPr>
    </w:p>
    <w:p w14:paraId="6B5C9AA6"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5AA5BF40" w14:textId="77777777" w:rsidR="00EB558A" w:rsidRPr="00070EDA" w:rsidRDefault="00EB558A" w:rsidP="00EB558A">
      <w:pPr>
        <w:rPr>
          <w:rFonts w:asciiTheme="minorHAnsi" w:hAnsiTheme="minorHAnsi" w:cstheme="minorHAnsi"/>
          <w:sz w:val="22"/>
          <w:szCs w:val="22"/>
        </w:rPr>
      </w:pPr>
    </w:p>
    <w:p w14:paraId="23A6D849"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2C440C9" w14:textId="77777777" w:rsidR="00EB558A" w:rsidRPr="00070EDA" w:rsidRDefault="00EB558A" w:rsidP="00EB558A">
      <w:pPr>
        <w:rPr>
          <w:rFonts w:asciiTheme="minorHAnsi" w:hAnsiTheme="minorHAnsi" w:cstheme="minorHAnsi"/>
          <w:sz w:val="22"/>
          <w:szCs w:val="22"/>
        </w:rPr>
      </w:pPr>
    </w:p>
    <w:p w14:paraId="4DF637CF"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79C7E367"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046BD325"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378FD522" w14:textId="77777777" w:rsidR="00EB558A" w:rsidRPr="00070EDA" w:rsidRDefault="00EB558A" w:rsidP="00EB558A">
      <w:pPr>
        <w:ind w:left="709"/>
        <w:rPr>
          <w:rFonts w:asciiTheme="minorHAnsi" w:hAnsiTheme="minorHAnsi" w:cstheme="minorHAnsi"/>
          <w:color w:val="000000"/>
          <w:sz w:val="22"/>
          <w:szCs w:val="22"/>
        </w:rPr>
      </w:pPr>
    </w:p>
    <w:p w14:paraId="23F05704" w14:textId="77777777" w:rsidR="00EB558A" w:rsidRPr="00070EDA" w:rsidRDefault="00EB558A" w:rsidP="00EB558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646E9E0" w14:textId="77777777" w:rsidR="00EB558A" w:rsidRPr="001F5D6E" w:rsidRDefault="00EB558A" w:rsidP="00EB558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798723C4" w14:textId="77777777" w:rsidR="00EB558A" w:rsidRPr="00070EDA" w:rsidRDefault="00EB558A" w:rsidP="00EB558A">
      <w:pPr>
        <w:pStyle w:val="Odsekzoznamu"/>
        <w:ind w:left="0"/>
        <w:jc w:val="both"/>
        <w:rPr>
          <w:rFonts w:asciiTheme="minorHAnsi" w:hAnsiTheme="minorHAnsi" w:cstheme="minorHAnsi"/>
          <w:sz w:val="22"/>
          <w:szCs w:val="22"/>
        </w:rPr>
      </w:pPr>
    </w:p>
    <w:p w14:paraId="50741DE6" w14:textId="77777777" w:rsidR="00EB558A" w:rsidRPr="00070EDA" w:rsidRDefault="00EB558A" w:rsidP="00EB558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11ABD899" w14:textId="77777777" w:rsidR="00EB558A" w:rsidRPr="00070EDA" w:rsidRDefault="00EB558A" w:rsidP="00EB558A">
      <w:pPr>
        <w:pStyle w:val="Zkladntext"/>
        <w:ind w:left="709" w:hanging="709"/>
        <w:rPr>
          <w:rFonts w:asciiTheme="minorHAnsi" w:hAnsiTheme="minorHAnsi" w:cstheme="minorHAnsi"/>
          <w:sz w:val="22"/>
          <w:szCs w:val="22"/>
        </w:rPr>
      </w:pPr>
    </w:p>
    <w:p w14:paraId="08A12979" w14:textId="77777777" w:rsidR="00EB558A" w:rsidRPr="00070EDA" w:rsidRDefault="00EB558A" w:rsidP="00EB558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29C0A9CD" w14:textId="77777777" w:rsidR="00EB558A" w:rsidRPr="00070EDA" w:rsidRDefault="00EB558A" w:rsidP="00EB558A">
      <w:pPr>
        <w:pStyle w:val="Zkladntext"/>
        <w:ind w:left="709" w:hanging="709"/>
        <w:rPr>
          <w:rFonts w:asciiTheme="minorHAnsi" w:hAnsiTheme="minorHAnsi" w:cstheme="minorHAnsi"/>
          <w:sz w:val="22"/>
          <w:szCs w:val="22"/>
        </w:rPr>
      </w:pPr>
    </w:p>
    <w:p w14:paraId="5F3EE2B4" w14:textId="77777777" w:rsidR="00EB558A" w:rsidRPr="00070ED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0A8C0D4D" w14:textId="77777777" w:rsidR="00EB558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9E70AC1" w14:textId="77777777" w:rsidR="00EB558A" w:rsidRPr="00070EDA" w:rsidRDefault="00EB558A" w:rsidP="00EB558A">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6F946866" w14:textId="77777777" w:rsidR="00EB558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B760C8A"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6ACBCACB" w14:textId="77777777" w:rsidR="00EB558A" w:rsidRPr="00070EDA" w:rsidRDefault="00EB558A" w:rsidP="00EB558A">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najnižšia celková ponuková cena za danú časť, </w:t>
      </w:r>
    </w:p>
    <w:p w14:paraId="272FC496" w14:textId="77777777" w:rsidR="00EB558A" w:rsidRPr="00070EDA" w:rsidRDefault="00EB558A" w:rsidP="00EB558A">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6E956543" w14:textId="77777777" w:rsidR="00EB558A" w:rsidRPr="00070EDA" w:rsidRDefault="00EB558A" w:rsidP="00EB558A">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745AB313" w14:textId="77777777" w:rsidR="00EB558A" w:rsidRPr="00070EDA" w:rsidRDefault="00EB558A" w:rsidP="00EB558A">
      <w:pPr>
        <w:ind w:left="1428"/>
        <w:rPr>
          <w:rFonts w:asciiTheme="minorHAnsi" w:hAnsiTheme="minorHAnsi" w:cstheme="minorHAnsi"/>
          <w:color w:val="000000"/>
          <w:sz w:val="22"/>
          <w:szCs w:val="22"/>
        </w:rPr>
      </w:pPr>
    </w:p>
    <w:p w14:paraId="5694C3EE" w14:textId="77777777" w:rsidR="00EB558A" w:rsidRDefault="00EB558A" w:rsidP="00EB558A">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242D6E2F" w14:textId="77777777" w:rsidR="00EB558A" w:rsidRPr="00070EDA" w:rsidRDefault="00EB558A" w:rsidP="00EB558A">
      <w:pPr>
        <w:ind w:left="708"/>
        <w:rPr>
          <w:rFonts w:asciiTheme="minorHAnsi" w:hAnsiTheme="minorHAnsi" w:cstheme="minorHAnsi"/>
          <w:sz w:val="22"/>
          <w:szCs w:val="22"/>
        </w:rPr>
      </w:pPr>
    </w:p>
    <w:p w14:paraId="7DE8CA0D" w14:textId="77777777" w:rsidR="00EB558A" w:rsidRDefault="00EB558A" w:rsidP="00EB558A">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669C51C7" w14:textId="77777777" w:rsidR="00EB558A" w:rsidRPr="00070EDA" w:rsidRDefault="00EB558A" w:rsidP="00EB558A">
      <w:pPr>
        <w:ind w:left="708"/>
        <w:rPr>
          <w:rFonts w:asciiTheme="minorHAnsi" w:hAnsiTheme="minorHAnsi" w:cstheme="minorHAnsi"/>
          <w:sz w:val="22"/>
          <w:szCs w:val="22"/>
        </w:rPr>
      </w:pPr>
    </w:p>
    <w:p w14:paraId="15FA1F47" w14:textId="77777777" w:rsidR="00EB558A" w:rsidRDefault="00EB558A" w:rsidP="00EB558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378EB46B" w14:textId="77777777" w:rsidR="00EB558A" w:rsidRPr="00070EDA" w:rsidRDefault="00EB558A" w:rsidP="00EB558A">
      <w:pPr>
        <w:ind w:left="708"/>
        <w:rPr>
          <w:rFonts w:asciiTheme="minorHAnsi" w:hAnsiTheme="minorHAnsi" w:cstheme="minorHAnsi"/>
          <w:color w:val="000000"/>
          <w:sz w:val="22"/>
          <w:szCs w:val="22"/>
        </w:rPr>
      </w:pPr>
    </w:p>
    <w:p w14:paraId="78AC4D9A" w14:textId="77777777" w:rsidR="00EB558A" w:rsidRDefault="00EB558A" w:rsidP="00EB558A">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0529F9E5" w14:textId="77777777" w:rsidR="00EB558A" w:rsidRPr="00070EDA" w:rsidRDefault="00EB558A" w:rsidP="00EB558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36647DDD" w14:textId="77777777" w:rsidR="00EB558A" w:rsidRPr="00070EDA" w:rsidRDefault="00EB558A" w:rsidP="00EB558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483D5F8D" w14:textId="77777777" w:rsidR="00EB558A" w:rsidRDefault="00EB558A" w:rsidP="00EB558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75877D02" w14:textId="77777777" w:rsidR="00EB558A" w:rsidRPr="00070EDA" w:rsidRDefault="00EB558A" w:rsidP="00EB558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69D3BF4B" w14:textId="77777777" w:rsidR="00EB558A" w:rsidRPr="00070EDA" w:rsidRDefault="00EB558A" w:rsidP="00EB558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7B5E8CF7" w14:textId="77777777" w:rsidR="00EB558A" w:rsidRPr="00070EDA" w:rsidRDefault="00EB558A" w:rsidP="00EB558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7552CF12" w14:textId="77777777" w:rsidR="00EB558A" w:rsidRPr="00070ED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4DEE2C0" w14:textId="77777777" w:rsidR="00EB558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75AD80F1"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1C38894D" w14:textId="77777777" w:rsidR="00EB558A" w:rsidRPr="00070EDA" w:rsidRDefault="00EB558A" w:rsidP="00EB558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FF80A3E" w14:textId="77777777" w:rsidR="00EB558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29ADBA00"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08C564CD" w14:textId="77777777" w:rsidR="00EB558A" w:rsidRDefault="00EB558A" w:rsidP="00EB558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8B4F0"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240211F6" w14:textId="77777777" w:rsidR="00EB558A" w:rsidRPr="00070EDA" w:rsidRDefault="00EB558A" w:rsidP="00EB558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E77DBBC" w14:textId="77777777" w:rsidR="00EB558A" w:rsidRPr="00070EDA" w:rsidRDefault="00EB558A" w:rsidP="00EB558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5735C58A" w14:textId="77777777" w:rsidR="00EB558A" w:rsidRPr="00070EDA" w:rsidRDefault="00EB558A" w:rsidP="00EB558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44E81DEB" w14:textId="77777777" w:rsidR="00EB558A" w:rsidRPr="00070EDA" w:rsidRDefault="00EB558A" w:rsidP="00EB558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17D09199" w14:textId="77777777" w:rsidR="00EB558A" w:rsidRPr="00070EDA" w:rsidRDefault="00EB558A" w:rsidP="00EB558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376E4A2A" w14:textId="77777777" w:rsidR="00EB558A" w:rsidRPr="00070EDA" w:rsidRDefault="00EB558A" w:rsidP="00EB558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lastRenderedPageBreak/>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D1FEDD9" w14:textId="77777777" w:rsidR="00EB558A" w:rsidRPr="00070EDA" w:rsidRDefault="00EB558A" w:rsidP="00EB558A">
      <w:pPr>
        <w:spacing w:line="276" w:lineRule="auto"/>
        <w:rPr>
          <w:rFonts w:asciiTheme="minorHAnsi" w:hAnsiTheme="minorHAnsi" w:cstheme="minorHAnsi"/>
          <w:b/>
          <w:sz w:val="22"/>
          <w:szCs w:val="22"/>
          <w:lang w:eastAsia="cs-CZ"/>
        </w:rPr>
      </w:pPr>
    </w:p>
    <w:p w14:paraId="6CF46756" w14:textId="77777777" w:rsidR="00EB558A" w:rsidRPr="00070EDA" w:rsidRDefault="00EB558A" w:rsidP="00EB558A">
      <w:pPr>
        <w:ind w:left="360" w:hanging="360"/>
        <w:rPr>
          <w:rFonts w:asciiTheme="minorHAnsi" w:hAnsiTheme="minorHAnsi" w:cstheme="minorHAnsi"/>
          <w:b/>
          <w:sz w:val="22"/>
          <w:szCs w:val="22"/>
          <w:lang w:eastAsia="cs-CZ"/>
        </w:rPr>
      </w:pPr>
    </w:p>
    <w:p w14:paraId="772D2F59" w14:textId="77777777" w:rsidR="00EB558A" w:rsidRPr="00997741"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B7E52C2"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5839A5D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369BAF8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DAA7F87" w14:textId="77777777" w:rsidR="00EB558A" w:rsidRPr="00070EDA" w:rsidRDefault="00EB558A" w:rsidP="00EB558A">
      <w:pPr>
        <w:autoSpaceDE w:val="0"/>
        <w:autoSpaceDN w:val="0"/>
        <w:adjustRightInd w:val="0"/>
        <w:spacing w:line="276" w:lineRule="auto"/>
        <w:rPr>
          <w:rFonts w:asciiTheme="minorHAnsi" w:hAnsiTheme="minorHAnsi" w:cstheme="minorHAnsi"/>
          <w:b/>
          <w:color w:val="000000"/>
          <w:sz w:val="22"/>
          <w:szCs w:val="22"/>
        </w:rPr>
      </w:pPr>
    </w:p>
    <w:p w14:paraId="60EB2692"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3833A8A6"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30D9BA9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2BD7842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5F685F9"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5D7E49D8"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50E3B9A3"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4B5577B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28DE3E43" w14:textId="77777777" w:rsidR="00EB558A" w:rsidRPr="00070EDA" w:rsidRDefault="00EB558A" w:rsidP="00EB558A">
      <w:pPr>
        <w:ind w:left="708"/>
        <w:rPr>
          <w:rFonts w:asciiTheme="minorHAnsi" w:hAnsiTheme="minorHAnsi" w:cstheme="minorHAnsi"/>
          <w:color w:val="000000"/>
          <w:sz w:val="22"/>
          <w:szCs w:val="22"/>
        </w:rPr>
      </w:pPr>
    </w:p>
    <w:p w14:paraId="71074C34" w14:textId="77777777" w:rsidR="00EB558A" w:rsidRPr="00070EDA" w:rsidRDefault="00EB558A" w:rsidP="00EB558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40036C1D" w14:textId="77777777" w:rsidR="00EB558A" w:rsidRPr="00070EDA" w:rsidRDefault="00EB558A" w:rsidP="00EB558A">
      <w:pPr>
        <w:ind w:left="709" w:hanging="709"/>
        <w:rPr>
          <w:rFonts w:asciiTheme="minorHAnsi" w:hAnsiTheme="minorHAnsi" w:cstheme="minorHAnsi"/>
          <w:color w:val="000000"/>
          <w:sz w:val="22"/>
          <w:szCs w:val="22"/>
        </w:rPr>
      </w:pPr>
    </w:p>
    <w:p w14:paraId="5E576CE0" w14:textId="77777777" w:rsidR="00EB558A" w:rsidRPr="00070EDA" w:rsidRDefault="00EB558A" w:rsidP="00EB558A">
      <w:pPr>
        <w:rPr>
          <w:rFonts w:asciiTheme="minorHAnsi" w:hAnsiTheme="minorHAnsi" w:cstheme="minorHAnsi"/>
          <w:color w:val="000000"/>
          <w:sz w:val="22"/>
          <w:szCs w:val="22"/>
        </w:rPr>
      </w:pPr>
    </w:p>
    <w:p w14:paraId="5AF8AD22"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116D070" w14:textId="77777777" w:rsidR="00EB558A" w:rsidRPr="00070EDA" w:rsidRDefault="00EB558A" w:rsidP="00EB558A">
      <w:pPr>
        <w:autoSpaceDE w:val="0"/>
        <w:adjustRightInd w:val="0"/>
        <w:jc w:val="left"/>
        <w:rPr>
          <w:rFonts w:asciiTheme="minorHAnsi" w:hAnsiTheme="minorHAnsi" w:cstheme="minorHAnsi"/>
          <w:sz w:val="22"/>
          <w:szCs w:val="22"/>
        </w:rPr>
      </w:pPr>
    </w:p>
    <w:p w14:paraId="33471F6C" w14:textId="77777777" w:rsidR="00EB558A" w:rsidRPr="00070EDA" w:rsidRDefault="00EB558A" w:rsidP="00EB558A">
      <w:pPr>
        <w:autoSpaceDE w:val="0"/>
        <w:adjustRightInd w:val="0"/>
        <w:jc w:val="left"/>
        <w:rPr>
          <w:rFonts w:asciiTheme="minorHAnsi" w:hAnsiTheme="minorHAnsi" w:cstheme="minorHAnsi"/>
          <w:sz w:val="22"/>
          <w:szCs w:val="22"/>
        </w:rPr>
      </w:pPr>
    </w:p>
    <w:p w14:paraId="4A8D37B1" w14:textId="77777777" w:rsidR="00EB558A" w:rsidRPr="00070EDA" w:rsidRDefault="00EB558A" w:rsidP="00EB558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269E69C1" w14:textId="77777777" w:rsidR="00EB558A" w:rsidRPr="00070EDA" w:rsidRDefault="00EB558A" w:rsidP="00EB558A">
      <w:pPr>
        <w:autoSpaceDE w:val="0"/>
        <w:adjustRightInd w:val="0"/>
        <w:jc w:val="left"/>
        <w:rPr>
          <w:rFonts w:asciiTheme="minorHAnsi" w:hAnsiTheme="minorHAnsi" w:cstheme="minorHAnsi"/>
          <w:sz w:val="22"/>
          <w:szCs w:val="22"/>
        </w:rPr>
      </w:pPr>
    </w:p>
    <w:p w14:paraId="264BCC89" w14:textId="77777777" w:rsidR="00EB558A" w:rsidRDefault="00EB558A" w:rsidP="00EB558A">
      <w:pPr>
        <w:rPr>
          <w:rFonts w:asciiTheme="minorHAnsi" w:hAnsiTheme="minorHAnsi" w:cstheme="minorHAnsi"/>
          <w:color w:val="000000"/>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F5E1A4E" w14:textId="77777777" w:rsidR="004622A0" w:rsidRDefault="004622A0" w:rsidP="001911DF">
      <w:pPr>
        <w:autoSpaceDE w:val="0"/>
        <w:adjustRightInd w:val="0"/>
        <w:jc w:val="left"/>
        <w:rPr>
          <w:rFonts w:ascii="Calibri" w:hAnsi="Calibri" w:cs="Arial"/>
          <w:sz w:val="22"/>
          <w:szCs w:val="22"/>
        </w:rPr>
      </w:pPr>
    </w:p>
    <w:p w14:paraId="005B8EEC" w14:textId="77777777" w:rsidR="004622A0" w:rsidRDefault="004622A0" w:rsidP="001911DF">
      <w:pPr>
        <w:autoSpaceDE w:val="0"/>
        <w:adjustRightInd w:val="0"/>
        <w:jc w:val="left"/>
        <w:rPr>
          <w:rFonts w:ascii="Calibri" w:hAnsi="Calibri" w:cs="Arial"/>
          <w:sz w:val="22"/>
          <w:szCs w:val="22"/>
        </w:rPr>
      </w:pPr>
    </w:p>
    <w:p w14:paraId="6EE67E81" w14:textId="77777777" w:rsidR="004622A0" w:rsidRDefault="004622A0" w:rsidP="001911DF">
      <w:pPr>
        <w:autoSpaceDE w:val="0"/>
        <w:adjustRightInd w:val="0"/>
        <w:jc w:val="left"/>
        <w:rPr>
          <w:rFonts w:ascii="Calibri" w:hAnsi="Calibri" w:cs="Arial"/>
          <w:sz w:val="22"/>
          <w:szCs w:val="22"/>
        </w:rPr>
      </w:pPr>
    </w:p>
    <w:p w14:paraId="018DD6F6" w14:textId="77777777" w:rsidR="004622A0" w:rsidRDefault="004622A0" w:rsidP="001911DF">
      <w:pPr>
        <w:autoSpaceDE w:val="0"/>
        <w:adjustRightInd w:val="0"/>
        <w:jc w:val="left"/>
        <w:rPr>
          <w:rFonts w:ascii="Calibri" w:hAnsi="Calibri" w:cs="Arial"/>
          <w:sz w:val="22"/>
          <w:szCs w:val="22"/>
        </w:rPr>
      </w:pPr>
    </w:p>
    <w:p w14:paraId="6EBEBF19" w14:textId="77777777" w:rsidR="004622A0" w:rsidRDefault="004622A0" w:rsidP="001911DF">
      <w:pPr>
        <w:autoSpaceDE w:val="0"/>
        <w:adjustRightInd w:val="0"/>
        <w:jc w:val="left"/>
        <w:rPr>
          <w:rFonts w:ascii="Calibri" w:hAnsi="Calibri" w:cs="Arial"/>
          <w:sz w:val="22"/>
          <w:szCs w:val="22"/>
        </w:rPr>
      </w:pPr>
    </w:p>
    <w:p w14:paraId="346ADAF9" w14:textId="77777777" w:rsidR="004622A0" w:rsidRDefault="004622A0" w:rsidP="001911DF">
      <w:pPr>
        <w:autoSpaceDE w:val="0"/>
        <w:adjustRightInd w:val="0"/>
        <w:jc w:val="left"/>
        <w:rPr>
          <w:rFonts w:ascii="Calibri" w:hAnsi="Calibri" w:cs="Arial"/>
          <w:sz w:val="22"/>
          <w:szCs w:val="22"/>
        </w:rPr>
      </w:pPr>
    </w:p>
    <w:p w14:paraId="1FF17AF2" w14:textId="77777777" w:rsidR="004622A0" w:rsidRDefault="004622A0"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637279F1" w14:textId="77777777" w:rsidR="000A073E" w:rsidRDefault="000A073E" w:rsidP="000A073E">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1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9BCED24" w14:textId="77777777" w:rsidR="000A073E" w:rsidRPr="00355335" w:rsidRDefault="000A073E" w:rsidP="000A073E">
      <w:pPr>
        <w:rPr>
          <w:rFonts w:ascii="Times New Roman" w:eastAsia="Arial" w:hAnsi="Times New Roman"/>
          <w:b/>
          <w:iCs/>
          <w:sz w:val="24"/>
        </w:rPr>
      </w:pPr>
    </w:p>
    <w:p w14:paraId="1FE25FB6" w14:textId="77777777" w:rsidR="000A073E" w:rsidRPr="00F94C13" w:rsidRDefault="000A073E" w:rsidP="000A073E">
      <w:pPr>
        <w:ind w:left="360"/>
        <w:rPr>
          <w:rFonts w:ascii="Times New Roman" w:eastAsia="Arial" w:hAnsi="Times New Roman"/>
          <w:sz w:val="24"/>
        </w:rPr>
      </w:pPr>
    </w:p>
    <w:p w14:paraId="4A7E9698" w14:textId="77777777" w:rsidR="000A073E" w:rsidRPr="00C54653" w:rsidRDefault="000A073E" w:rsidP="000A073E">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5641803" w14:textId="77777777" w:rsidR="000A073E" w:rsidRPr="00C54653" w:rsidRDefault="000A073E" w:rsidP="000A073E">
      <w:pPr>
        <w:rPr>
          <w:rFonts w:ascii="Times New Roman" w:eastAsia="Arial" w:hAnsi="Times New Roman"/>
          <w:color w:val="000000"/>
          <w:sz w:val="24"/>
        </w:rPr>
      </w:pPr>
    </w:p>
    <w:p w14:paraId="1BFA2048" w14:textId="77777777" w:rsidR="000A073E" w:rsidRPr="008E01AA" w:rsidRDefault="000A073E" w:rsidP="000A073E">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5B520ED" w14:textId="77777777" w:rsidR="000A073E" w:rsidRDefault="000A073E" w:rsidP="000A073E">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0A073E" w14:paraId="6105920F" w14:textId="77777777" w:rsidTr="00E8578E">
        <w:tc>
          <w:tcPr>
            <w:tcW w:w="4313" w:type="dxa"/>
          </w:tcPr>
          <w:p w14:paraId="70BD1BD5" w14:textId="77777777" w:rsidR="000A073E" w:rsidRDefault="000A073E" w:rsidP="00E8578E">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21E19E43" w14:textId="77777777" w:rsidR="000A073E" w:rsidRDefault="000A073E" w:rsidP="00E8578E">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678128C2" w14:textId="77777777" w:rsidR="000A073E" w:rsidRDefault="000A073E" w:rsidP="00E8578E">
            <w:pPr>
              <w:tabs>
                <w:tab w:val="left" w:pos="644"/>
              </w:tabs>
              <w:rPr>
                <w:rFonts w:ascii="Times New Roman" w:eastAsia="Arial" w:hAnsi="Times New Roman"/>
                <w:color w:val="000000"/>
                <w:spacing w:val="-7"/>
                <w:sz w:val="24"/>
              </w:rPr>
            </w:pPr>
          </w:p>
        </w:tc>
      </w:tr>
      <w:tr w:rsidR="000A073E" w14:paraId="19A2D952" w14:textId="77777777" w:rsidTr="00E8578E">
        <w:tc>
          <w:tcPr>
            <w:tcW w:w="4313" w:type="dxa"/>
          </w:tcPr>
          <w:p w14:paraId="2DC145C2" w14:textId="2DA55D80" w:rsidR="000A073E" w:rsidRPr="00FC776D" w:rsidRDefault="000A073E" w:rsidP="00E8578E">
            <w:pPr>
              <w:tabs>
                <w:tab w:val="left" w:pos="644"/>
              </w:tabs>
              <w:rPr>
                <w:rFonts w:ascii="Times New Roman" w:eastAsia="Arial" w:hAnsi="Times New Roman"/>
                <w:b/>
                <w:bCs/>
                <w:color w:val="000000"/>
                <w:spacing w:val="-7"/>
                <w:sz w:val="24"/>
              </w:rPr>
            </w:pPr>
            <w:proofErr w:type="spellStart"/>
            <w:r w:rsidRPr="00FC776D">
              <w:rPr>
                <w:rFonts w:ascii="Times New Roman" w:eastAsia="Arial" w:hAnsi="Times New Roman"/>
                <w:b/>
                <w:bCs/>
                <w:color w:val="000000"/>
                <w:spacing w:val="-7"/>
                <w:sz w:val="24"/>
              </w:rPr>
              <w:t>Liečivá</w:t>
            </w:r>
            <w:proofErr w:type="spellEnd"/>
            <w:r w:rsidRPr="00FC776D">
              <w:rPr>
                <w:rFonts w:ascii="Times New Roman" w:eastAsia="Arial" w:hAnsi="Times New Roman"/>
                <w:b/>
                <w:bCs/>
                <w:color w:val="000000"/>
                <w:spacing w:val="-7"/>
                <w:sz w:val="24"/>
              </w:rPr>
              <w:t xml:space="preserve"> pre </w:t>
            </w:r>
            <w:proofErr w:type="spellStart"/>
            <w:r>
              <w:rPr>
                <w:rFonts w:ascii="Times New Roman" w:eastAsia="Arial" w:hAnsi="Times New Roman"/>
                <w:b/>
                <w:bCs/>
                <w:color w:val="000000"/>
                <w:spacing w:val="-7"/>
                <w:sz w:val="24"/>
              </w:rPr>
              <w:t>muskuloskeletálny</w:t>
            </w:r>
            <w:proofErr w:type="spellEnd"/>
            <w:r>
              <w:rPr>
                <w:rFonts w:ascii="Times New Roman" w:eastAsia="Arial" w:hAnsi="Times New Roman"/>
                <w:b/>
                <w:bCs/>
                <w:color w:val="000000"/>
                <w:spacing w:val="-7"/>
                <w:sz w:val="24"/>
              </w:rPr>
              <w:t xml:space="preserve"> </w:t>
            </w:r>
            <w:proofErr w:type="spellStart"/>
            <w:r>
              <w:rPr>
                <w:rFonts w:ascii="Times New Roman" w:eastAsia="Arial" w:hAnsi="Times New Roman"/>
                <w:b/>
                <w:bCs/>
                <w:color w:val="000000"/>
                <w:spacing w:val="-7"/>
                <w:sz w:val="24"/>
              </w:rPr>
              <w:t>systém</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časť</w:t>
            </w:r>
            <w:proofErr w:type="spellEnd"/>
            <w:r w:rsidRPr="00FC776D">
              <w:rPr>
                <w:rFonts w:ascii="Times New Roman" w:eastAsia="Arial" w:hAnsi="Times New Roman"/>
                <w:b/>
                <w:bCs/>
                <w:color w:val="000000"/>
                <w:spacing w:val="-7"/>
                <w:sz w:val="24"/>
              </w:rPr>
              <w:t xml:space="preserve"> č. </w:t>
            </w:r>
          </w:p>
          <w:p w14:paraId="6A9DE410" w14:textId="77777777" w:rsidR="000A073E" w:rsidRDefault="000A073E" w:rsidP="00E8578E">
            <w:pPr>
              <w:tabs>
                <w:tab w:val="left" w:pos="644"/>
              </w:tabs>
              <w:rPr>
                <w:rFonts w:ascii="Times New Roman" w:eastAsia="Arial" w:hAnsi="Times New Roman"/>
                <w:color w:val="000000"/>
                <w:spacing w:val="-7"/>
                <w:sz w:val="24"/>
              </w:rPr>
            </w:pPr>
          </w:p>
        </w:tc>
        <w:tc>
          <w:tcPr>
            <w:tcW w:w="2976" w:type="dxa"/>
          </w:tcPr>
          <w:p w14:paraId="464329AE" w14:textId="77777777" w:rsidR="000A073E" w:rsidRDefault="000A073E" w:rsidP="00E8578E">
            <w:pPr>
              <w:tabs>
                <w:tab w:val="left" w:pos="644"/>
              </w:tabs>
              <w:rPr>
                <w:rFonts w:ascii="Times New Roman" w:eastAsia="Arial" w:hAnsi="Times New Roman"/>
                <w:color w:val="000000"/>
                <w:spacing w:val="-7"/>
                <w:sz w:val="24"/>
              </w:rPr>
            </w:pPr>
          </w:p>
        </w:tc>
      </w:tr>
    </w:tbl>
    <w:p w14:paraId="1777E1DA" w14:textId="77777777" w:rsidR="000A073E" w:rsidRPr="00C54653" w:rsidRDefault="000A073E" w:rsidP="000A073E">
      <w:pPr>
        <w:tabs>
          <w:tab w:val="left" w:pos="644"/>
        </w:tabs>
        <w:ind w:left="644"/>
        <w:rPr>
          <w:rFonts w:ascii="Times New Roman" w:eastAsia="Arial" w:hAnsi="Times New Roman"/>
          <w:color w:val="000000"/>
          <w:spacing w:val="-7"/>
          <w:sz w:val="24"/>
        </w:rPr>
      </w:pPr>
    </w:p>
    <w:p w14:paraId="6D203179" w14:textId="77777777" w:rsidR="000A073E" w:rsidRDefault="000A073E" w:rsidP="000A073E">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716E187" w14:textId="77777777" w:rsidR="000A073E" w:rsidRDefault="000A073E" w:rsidP="000A073E">
      <w:pPr>
        <w:rPr>
          <w:rFonts w:ascii="Times New Roman" w:hAnsi="Times New Roman"/>
          <w:b/>
          <w:sz w:val="24"/>
        </w:rPr>
      </w:pPr>
    </w:p>
    <w:p w14:paraId="13D6A12E" w14:textId="1D5CE56D" w:rsidR="000A073E" w:rsidRPr="00640DA4" w:rsidRDefault="000A073E" w:rsidP="000A073E">
      <w:pPr>
        <w:spacing w:line="259" w:lineRule="auto"/>
        <w:jc w:val="center"/>
        <w:rPr>
          <w:rFonts w:ascii="Times New Roman" w:hAnsi="Times New Roman"/>
          <w:color w:val="000000"/>
          <w:sz w:val="24"/>
        </w:rPr>
      </w:pPr>
      <w:r>
        <w:rPr>
          <w:rFonts w:ascii="Times New Roman" w:hAnsi="Times New Roman"/>
          <w:b/>
          <w:sz w:val="24"/>
        </w:rPr>
        <w:t>Predmet zákazky:</w:t>
      </w:r>
      <w:r>
        <w:rPr>
          <w:rFonts w:ascii="Times New Roman" w:hAnsi="Times New Roman"/>
          <w:sz w:val="24"/>
        </w:rPr>
        <w:t xml:space="preserve">  </w:t>
      </w:r>
      <w:r>
        <w:rPr>
          <w:rFonts w:ascii="Times New Roman" w:hAnsi="Times New Roman"/>
          <w:color w:val="000000"/>
          <w:sz w:val="24"/>
        </w:rPr>
        <w:t xml:space="preserve">Liečivá pre </w:t>
      </w:r>
      <w:proofErr w:type="spellStart"/>
      <w:r>
        <w:rPr>
          <w:rFonts w:ascii="Times New Roman" w:hAnsi="Times New Roman"/>
          <w:color w:val="000000"/>
          <w:sz w:val="24"/>
        </w:rPr>
        <w:t>muskuloskeletálny</w:t>
      </w:r>
      <w:proofErr w:type="spellEnd"/>
      <w:r>
        <w:rPr>
          <w:rFonts w:ascii="Times New Roman" w:hAnsi="Times New Roman"/>
          <w:color w:val="000000"/>
          <w:sz w:val="24"/>
        </w:rPr>
        <w:t xml:space="preserve"> systém časť č. ...</w:t>
      </w:r>
    </w:p>
    <w:p w14:paraId="2BF230D6" w14:textId="77777777" w:rsidR="000A073E" w:rsidRPr="00AD6227" w:rsidRDefault="000A073E" w:rsidP="000A073E">
      <w:pPr>
        <w:rPr>
          <w:rFonts w:ascii="Times New Roman" w:eastAsia="Arial" w:hAnsi="Times New Roman"/>
          <w:b/>
          <w:i/>
          <w:sz w:val="28"/>
        </w:rPr>
      </w:pPr>
    </w:p>
    <w:p w14:paraId="05485464" w14:textId="77777777" w:rsidR="000A073E" w:rsidRDefault="000A073E" w:rsidP="000A073E">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DA4137" w14:textId="77777777" w:rsidR="000A073E" w:rsidRDefault="000A073E" w:rsidP="000A073E">
      <w:pPr>
        <w:pStyle w:val="Bezriadkovania"/>
        <w:rPr>
          <w:rFonts w:ascii="Times New Roman" w:eastAsia="Times New Roman" w:hAnsi="Times New Roman" w:cs="Times New Roman"/>
          <w:b/>
          <w:sz w:val="24"/>
        </w:rPr>
      </w:pPr>
    </w:p>
    <w:p w14:paraId="4A04C05C" w14:textId="77777777" w:rsidR="000A073E" w:rsidRDefault="000A073E" w:rsidP="000A073E">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33545A0C" w14:textId="77777777" w:rsidR="000A073E" w:rsidRDefault="000A073E" w:rsidP="000A073E">
      <w:pPr>
        <w:pStyle w:val="Bezriadkovania"/>
        <w:rPr>
          <w:rFonts w:eastAsia="Times New Roman"/>
          <w:b/>
        </w:rPr>
      </w:pPr>
    </w:p>
    <w:p w14:paraId="460F42EB" w14:textId="77777777" w:rsidR="000A073E" w:rsidRDefault="000A073E" w:rsidP="000A073E">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528712ED" w14:textId="77777777" w:rsidR="000A073E" w:rsidRDefault="000A073E" w:rsidP="000A073E">
      <w:pPr>
        <w:pStyle w:val="Bezriadkovania"/>
        <w:rPr>
          <w:rFonts w:eastAsia="Times New Roman"/>
          <w:b/>
        </w:rPr>
      </w:pPr>
    </w:p>
    <w:p w14:paraId="22EDFAF8" w14:textId="77777777" w:rsidR="000A073E" w:rsidRDefault="000A073E" w:rsidP="000A073E">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1EC1D303" w14:textId="77777777" w:rsidR="000A073E" w:rsidRDefault="000A073E" w:rsidP="000A073E">
      <w:pPr>
        <w:pStyle w:val="Bezriadkovania"/>
        <w:rPr>
          <w:rFonts w:eastAsia="Times New Roman"/>
          <w:b/>
        </w:rPr>
      </w:pPr>
      <w:r>
        <w:rPr>
          <w:rFonts w:eastAsia="Times New Roman"/>
          <w:b/>
        </w:rPr>
        <w:t xml:space="preserve">  </w:t>
      </w:r>
    </w:p>
    <w:p w14:paraId="0CC8E88B" w14:textId="77777777" w:rsidR="000A073E" w:rsidRPr="00AA201E" w:rsidRDefault="000A073E" w:rsidP="000A073E">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128DD6CB" w14:textId="77777777" w:rsidR="000A073E" w:rsidRDefault="000A073E" w:rsidP="000A073E">
      <w:pPr>
        <w:rPr>
          <w:rFonts w:eastAsia="Arial" w:cs="Arial"/>
        </w:rPr>
      </w:pPr>
    </w:p>
    <w:p w14:paraId="6675E95C" w14:textId="77777777" w:rsidR="000A073E" w:rsidRDefault="000A073E" w:rsidP="000A073E">
      <w:pPr>
        <w:rPr>
          <w:rFonts w:eastAsia="Arial" w:cs="Arial"/>
        </w:rPr>
      </w:pPr>
    </w:p>
    <w:p w14:paraId="5486506D" w14:textId="77777777" w:rsidR="000A073E" w:rsidRPr="003B6D16" w:rsidRDefault="000A073E" w:rsidP="000A073E">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3FC855EA" w14:textId="77777777" w:rsidR="000A073E" w:rsidRDefault="000A073E" w:rsidP="000A073E">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394D691" w14:textId="77777777" w:rsidR="000A073E" w:rsidRDefault="000A073E" w:rsidP="000A073E">
      <w:pPr>
        <w:rPr>
          <w:rFonts w:ascii="Times New Roman" w:hAnsi="Times New Roman"/>
          <w:i/>
          <w:szCs w:val="20"/>
        </w:rPr>
      </w:pPr>
    </w:p>
    <w:p w14:paraId="7FF82302" w14:textId="77777777" w:rsidR="000A073E" w:rsidRPr="003B6D16" w:rsidRDefault="000A073E" w:rsidP="000A073E">
      <w:pPr>
        <w:rPr>
          <w:rFonts w:ascii="Times New Roman" w:hAnsi="Times New Roman"/>
          <w:i/>
          <w:szCs w:val="20"/>
        </w:rPr>
      </w:pPr>
    </w:p>
    <w:p w14:paraId="6D63F59D" w14:textId="77777777" w:rsidR="000A073E" w:rsidRDefault="000A073E" w:rsidP="000A073E">
      <w:pPr>
        <w:rPr>
          <w:rFonts w:ascii="Times New Roman" w:hAnsi="Times New Roman"/>
          <w:b/>
          <w:sz w:val="24"/>
        </w:rPr>
      </w:pPr>
    </w:p>
    <w:p w14:paraId="2ED28BD6" w14:textId="77777777" w:rsidR="000A073E" w:rsidRDefault="000A073E" w:rsidP="000A073E">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E4B57B3" w14:textId="77777777" w:rsidR="000A073E" w:rsidRDefault="000A073E" w:rsidP="000A073E">
      <w:pPr>
        <w:rPr>
          <w:rFonts w:ascii="Times New Roman" w:hAnsi="Times New Roman"/>
          <w:b/>
          <w:sz w:val="24"/>
        </w:rPr>
      </w:pPr>
    </w:p>
    <w:p w14:paraId="0B704865" w14:textId="77777777" w:rsidR="000A073E" w:rsidRDefault="000A073E" w:rsidP="000A073E">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6D96006A" w14:textId="77777777" w:rsidR="000A073E" w:rsidRDefault="000A073E" w:rsidP="000A073E">
      <w:pPr>
        <w:rPr>
          <w:rFonts w:ascii="Times New Roman" w:hAnsi="Times New Roman"/>
          <w:b/>
          <w:sz w:val="24"/>
        </w:rPr>
      </w:pPr>
    </w:p>
    <w:p w14:paraId="2E9AC56A" w14:textId="77777777" w:rsidR="000A073E" w:rsidRDefault="000A073E" w:rsidP="000A073E">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0294445C" w14:textId="77777777" w:rsidR="000A073E" w:rsidRPr="003B61A4" w:rsidRDefault="000A073E" w:rsidP="000A073E">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D0F3087" w14:textId="77777777" w:rsidR="000A073E" w:rsidRDefault="000A073E" w:rsidP="000A073E">
      <w:pPr>
        <w:ind w:right="57"/>
        <w:rPr>
          <w:rFonts w:eastAsia="Arial" w:cs="Arial"/>
          <w:b/>
          <w:color w:val="000000"/>
        </w:rPr>
      </w:pPr>
    </w:p>
    <w:p w14:paraId="1AC559E1" w14:textId="77777777" w:rsidR="000A073E" w:rsidRDefault="000A073E" w:rsidP="000A073E">
      <w:pPr>
        <w:ind w:right="57"/>
        <w:rPr>
          <w:rFonts w:eastAsia="Arial" w:cs="Arial"/>
          <w:b/>
          <w:color w:val="000000"/>
        </w:rPr>
      </w:pPr>
    </w:p>
    <w:p w14:paraId="2015C501" w14:textId="77777777" w:rsidR="000A073E" w:rsidRDefault="000A073E" w:rsidP="000A073E">
      <w:pPr>
        <w:ind w:right="57"/>
        <w:rPr>
          <w:rFonts w:eastAsia="Arial" w:cs="Arial"/>
          <w:b/>
          <w:color w:val="000000"/>
        </w:rPr>
      </w:pPr>
    </w:p>
    <w:p w14:paraId="7E336B66" w14:textId="77777777" w:rsidR="000A073E" w:rsidRDefault="000A073E" w:rsidP="000A073E">
      <w:pPr>
        <w:ind w:right="57"/>
        <w:rPr>
          <w:rFonts w:ascii="Times New Roman" w:hAnsi="Times New Roman"/>
          <w:b/>
          <w:color w:val="000000"/>
        </w:rPr>
      </w:pPr>
      <w:r>
        <w:rPr>
          <w:rFonts w:ascii="Times New Roman" w:hAnsi="Times New Roman"/>
          <w:b/>
          <w:color w:val="000000"/>
        </w:rPr>
        <w:t>Poznámka:</w:t>
      </w:r>
    </w:p>
    <w:p w14:paraId="15AC1ACF" w14:textId="77777777" w:rsidR="000A073E" w:rsidRDefault="000A073E" w:rsidP="000A073E">
      <w:pPr>
        <w:ind w:right="57"/>
        <w:rPr>
          <w:rFonts w:ascii="Times New Roman" w:hAnsi="Times New Roman"/>
          <w:color w:val="000000"/>
        </w:rPr>
      </w:pPr>
      <w:r>
        <w:rPr>
          <w:rFonts w:ascii="Times New Roman" w:hAnsi="Times New Roman"/>
          <w:color w:val="000000"/>
        </w:rPr>
        <w:t>-podpis uchádzača alebo osoby oprávnenej konať za uchádzača</w:t>
      </w:r>
    </w:p>
    <w:p w14:paraId="068D44E7" w14:textId="77777777" w:rsidR="000A073E" w:rsidRPr="00F77170" w:rsidRDefault="000A073E" w:rsidP="000A073E">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4991341" w14:textId="77777777" w:rsidR="000A073E" w:rsidRDefault="000A073E" w:rsidP="000A073E">
      <w:pPr>
        <w:ind w:right="57"/>
        <w:rPr>
          <w:rFonts w:eastAsia="Arial" w:cs="Arial"/>
          <w:b/>
          <w:color w:val="000000"/>
        </w:rPr>
      </w:pPr>
    </w:p>
    <w:p w14:paraId="2F848D70" w14:textId="77777777" w:rsidR="000A073E" w:rsidRDefault="000A073E" w:rsidP="000A073E">
      <w:pPr>
        <w:pStyle w:val="Default"/>
        <w:jc w:val="center"/>
        <w:rPr>
          <w:sz w:val="28"/>
          <w:szCs w:val="28"/>
        </w:rPr>
      </w:pPr>
    </w:p>
    <w:p w14:paraId="41C4BEA5" w14:textId="77777777" w:rsidR="000A073E" w:rsidRDefault="000A073E" w:rsidP="00640DA4">
      <w:pPr>
        <w:shd w:val="clear" w:color="auto" w:fill="BFBFBF" w:themeFill="background1" w:themeFillShade="BF"/>
        <w:autoSpaceDE w:val="0"/>
        <w:adjustRightInd w:val="0"/>
        <w:jc w:val="center"/>
        <w:rPr>
          <w:rFonts w:ascii="Times New Roman" w:hAnsi="Times New Roman"/>
          <w:b/>
          <w:sz w:val="22"/>
          <w:szCs w:val="22"/>
        </w:rPr>
      </w:pPr>
    </w:p>
    <w:p w14:paraId="1EB85358" w14:textId="0FDA38E1"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24D43E2" w:rsidR="00640DA4" w:rsidRPr="00640DA4" w:rsidRDefault="00CF7C9B" w:rsidP="00CF4674">
      <w:pPr>
        <w:spacing w:line="259" w:lineRule="auto"/>
        <w:jc w:val="center"/>
        <w:rPr>
          <w:rFonts w:ascii="Times New Roman" w:hAnsi="Times New Roman"/>
          <w:color w:val="000000"/>
          <w:sz w:val="24"/>
        </w:rPr>
      </w:pPr>
      <w:r>
        <w:rPr>
          <w:rFonts w:ascii="Times New Roman" w:hAnsi="Times New Roman"/>
          <w:color w:val="000000"/>
          <w:sz w:val="24"/>
        </w:rPr>
        <w:t xml:space="preserve">Liečivá pre </w:t>
      </w:r>
      <w:proofErr w:type="spellStart"/>
      <w:r>
        <w:rPr>
          <w:rFonts w:ascii="Times New Roman" w:hAnsi="Times New Roman"/>
          <w:color w:val="000000"/>
          <w:sz w:val="24"/>
        </w:rPr>
        <w:t>muskuloskeletálny</w:t>
      </w:r>
      <w:proofErr w:type="spellEnd"/>
      <w:r>
        <w:rPr>
          <w:rFonts w:ascii="Times New Roman" w:hAnsi="Times New Roman"/>
          <w:color w:val="000000"/>
          <w:sz w:val="24"/>
        </w:rPr>
        <w:t xml:space="preserve"> systém</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777777" w:rsidR="00CF4674" w:rsidRDefault="00CF4674" w:rsidP="00CF4674">
      <w:pPr>
        <w:spacing w:line="259" w:lineRule="auto"/>
        <w:jc w:val="left"/>
        <w:rPr>
          <w:rFonts w:ascii="Times New Roman" w:hAnsi="Times New Roman"/>
          <w:color w:val="000000"/>
          <w:sz w:val="24"/>
        </w:rPr>
      </w:pP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03CAA53" w14:textId="77777777" w:rsidR="00600D16" w:rsidRDefault="00600D16" w:rsidP="00600D16">
      <w:pPr>
        <w:pStyle w:val="Odsekzoznamu"/>
        <w:widowControl w:val="0"/>
        <w:numPr>
          <w:ilvl w:val="0"/>
          <w:numId w:val="64"/>
        </w:numPr>
        <w:suppressAutoHyphens/>
        <w:spacing w:after="12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tbl>
      <w:tblPr>
        <w:tblW w:w="9396" w:type="dxa"/>
        <w:tblInd w:w="75" w:type="dxa"/>
        <w:tblCellMar>
          <w:left w:w="70" w:type="dxa"/>
          <w:right w:w="70" w:type="dxa"/>
        </w:tblCellMar>
        <w:tblLook w:val="04A0" w:firstRow="1" w:lastRow="0" w:firstColumn="1" w:lastColumn="0" w:noHBand="0" w:noVBand="1"/>
      </w:tblPr>
      <w:tblGrid>
        <w:gridCol w:w="5568"/>
        <w:gridCol w:w="907"/>
        <w:gridCol w:w="1864"/>
        <w:gridCol w:w="1607"/>
      </w:tblGrid>
      <w:tr w:rsidR="004622A0" w:rsidRPr="00CC6EE8" w14:paraId="5ED50D90" w14:textId="77777777" w:rsidTr="00D34AAD">
        <w:trPr>
          <w:trHeight w:val="2700"/>
        </w:trPr>
        <w:tc>
          <w:tcPr>
            <w:tcW w:w="5568"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41B708D6" w14:textId="77777777" w:rsidR="004622A0" w:rsidRPr="00CC6EE8" w:rsidRDefault="004622A0" w:rsidP="00D34AAD">
            <w:pPr>
              <w:rPr>
                <w:rFonts w:cs="Calibri"/>
                <w:b/>
                <w:bCs/>
                <w:color w:val="000000"/>
              </w:rPr>
            </w:pPr>
            <w:r w:rsidRPr="00CC6EE8">
              <w:rPr>
                <w:rFonts w:cs="Calibri"/>
                <w:b/>
                <w:bCs/>
                <w:color w:val="000000"/>
              </w:rPr>
              <w:t>Účinná látka</w:t>
            </w:r>
          </w:p>
        </w:tc>
        <w:tc>
          <w:tcPr>
            <w:tcW w:w="725" w:type="dxa"/>
            <w:tcBorders>
              <w:top w:val="single" w:sz="4" w:space="0" w:color="auto"/>
              <w:left w:val="nil"/>
              <w:bottom w:val="single" w:sz="4" w:space="0" w:color="auto"/>
              <w:right w:val="single" w:sz="4" w:space="0" w:color="auto"/>
            </w:tcBorders>
            <w:shd w:val="clear" w:color="000000" w:fill="99CC00"/>
            <w:vAlign w:val="bottom"/>
            <w:hideMark/>
          </w:tcPr>
          <w:p w14:paraId="25DAC4D2" w14:textId="77777777" w:rsidR="004622A0" w:rsidRPr="00CC6EE8" w:rsidRDefault="004622A0" w:rsidP="00D34AAD">
            <w:pPr>
              <w:rPr>
                <w:rFonts w:cs="Calibri"/>
                <w:b/>
                <w:bCs/>
                <w:color w:val="000000"/>
              </w:rPr>
            </w:pPr>
            <w:r w:rsidRPr="00CC6EE8">
              <w:rPr>
                <w:rFonts w:cs="Calibri"/>
                <w:b/>
                <w:bCs/>
                <w:color w:val="000000"/>
              </w:rPr>
              <w:t>Cesta podania</w:t>
            </w:r>
          </w:p>
        </w:tc>
        <w:tc>
          <w:tcPr>
            <w:tcW w:w="1640" w:type="dxa"/>
            <w:tcBorders>
              <w:top w:val="single" w:sz="4" w:space="0" w:color="auto"/>
              <w:left w:val="nil"/>
              <w:bottom w:val="single" w:sz="4" w:space="0" w:color="auto"/>
              <w:right w:val="single" w:sz="4" w:space="0" w:color="auto"/>
            </w:tcBorders>
            <w:shd w:val="clear" w:color="000000" w:fill="99CC00"/>
            <w:vAlign w:val="bottom"/>
            <w:hideMark/>
          </w:tcPr>
          <w:p w14:paraId="54BD8647" w14:textId="77777777" w:rsidR="004622A0" w:rsidRPr="00CC6EE8" w:rsidRDefault="004622A0" w:rsidP="00D34AAD">
            <w:pPr>
              <w:rPr>
                <w:rFonts w:cs="Calibri"/>
                <w:b/>
                <w:bCs/>
                <w:color w:val="000000"/>
              </w:rPr>
            </w:pPr>
            <w:r w:rsidRPr="00CC6EE8">
              <w:rPr>
                <w:rFonts w:cs="Calibri"/>
                <w:b/>
                <w:bCs/>
                <w:color w:val="000000"/>
              </w:rPr>
              <w:t xml:space="preserve">Množstvo </w:t>
            </w:r>
            <w:proofErr w:type="spellStart"/>
            <w:r w:rsidRPr="00CC6EE8">
              <w:rPr>
                <w:rFonts w:cs="Calibri"/>
                <w:b/>
                <w:bCs/>
                <w:color w:val="000000"/>
              </w:rPr>
              <w:t>účínnej</w:t>
            </w:r>
            <w:proofErr w:type="spellEnd"/>
            <w:r w:rsidRPr="00CC6EE8">
              <w:rPr>
                <w:rFonts w:cs="Calibri"/>
                <w:b/>
                <w:bCs/>
                <w:color w:val="000000"/>
              </w:rPr>
              <w:t xml:space="preserve"> látky v mernej jednotke</w:t>
            </w:r>
          </w:p>
        </w:tc>
        <w:tc>
          <w:tcPr>
            <w:tcW w:w="1463" w:type="dxa"/>
            <w:tcBorders>
              <w:top w:val="single" w:sz="4" w:space="0" w:color="auto"/>
              <w:left w:val="nil"/>
              <w:bottom w:val="single" w:sz="4" w:space="0" w:color="auto"/>
              <w:right w:val="single" w:sz="4" w:space="0" w:color="auto"/>
            </w:tcBorders>
            <w:shd w:val="clear" w:color="000000" w:fill="99CC00"/>
            <w:vAlign w:val="bottom"/>
            <w:hideMark/>
          </w:tcPr>
          <w:p w14:paraId="05D53168" w14:textId="77777777" w:rsidR="004622A0" w:rsidRPr="00CC6EE8" w:rsidRDefault="004622A0" w:rsidP="00D34AAD">
            <w:pPr>
              <w:rPr>
                <w:rFonts w:cs="Calibri"/>
                <w:b/>
                <w:bCs/>
                <w:color w:val="000000"/>
              </w:rPr>
            </w:pPr>
            <w:r w:rsidRPr="00CC6EE8">
              <w:rPr>
                <w:rFonts w:cs="Calibri"/>
                <w:b/>
                <w:bCs/>
                <w:color w:val="000000"/>
              </w:rPr>
              <w:t>Celkový požadovaný počet merných jednotiek (</w:t>
            </w:r>
            <w:proofErr w:type="spellStart"/>
            <w:r w:rsidRPr="00CC6EE8">
              <w:rPr>
                <w:rFonts w:cs="Calibri"/>
                <w:b/>
                <w:bCs/>
                <w:color w:val="000000"/>
              </w:rPr>
              <w:t>amp</w:t>
            </w:r>
            <w:proofErr w:type="spellEnd"/>
            <w:r w:rsidRPr="00CC6EE8">
              <w:rPr>
                <w:rFonts w:cs="Calibri"/>
                <w:b/>
                <w:bCs/>
                <w:color w:val="000000"/>
              </w:rPr>
              <w:t>/</w:t>
            </w:r>
            <w:proofErr w:type="spellStart"/>
            <w:r w:rsidRPr="00CC6EE8">
              <w:rPr>
                <w:rFonts w:cs="Calibri"/>
                <w:b/>
                <w:bCs/>
                <w:color w:val="000000"/>
              </w:rPr>
              <w:t>tbl</w:t>
            </w:r>
            <w:proofErr w:type="spellEnd"/>
            <w:r w:rsidRPr="00CC6EE8">
              <w:rPr>
                <w:rFonts w:cs="Calibri"/>
                <w:b/>
                <w:bCs/>
                <w:color w:val="000000"/>
              </w:rPr>
              <w:t>/ks/</w:t>
            </w:r>
            <w:proofErr w:type="spellStart"/>
            <w:r w:rsidRPr="00CC6EE8">
              <w:rPr>
                <w:rFonts w:cs="Calibri"/>
                <w:b/>
                <w:bCs/>
                <w:color w:val="000000"/>
              </w:rPr>
              <w:t>lag</w:t>
            </w:r>
            <w:proofErr w:type="spellEnd"/>
            <w:r w:rsidRPr="00CC6EE8">
              <w:rPr>
                <w:rFonts w:cs="Calibri"/>
                <w:b/>
                <w:bCs/>
                <w:color w:val="000000"/>
              </w:rPr>
              <w:t>)</w:t>
            </w:r>
          </w:p>
        </w:tc>
      </w:tr>
      <w:tr w:rsidR="004622A0" w:rsidRPr="00CC6EE8" w14:paraId="397FB6F6" w14:textId="77777777" w:rsidTr="00D34AAD">
        <w:trPr>
          <w:trHeight w:val="300"/>
        </w:trPr>
        <w:tc>
          <w:tcPr>
            <w:tcW w:w="5568" w:type="dxa"/>
            <w:tcBorders>
              <w:top w:val="nil"/>
              <w:left w:val="single" w:sz="4" w:space="0" w:color="auto"/>
              <w:bottom w:val="single" w:sz="4" w:space="0" w:color="auto"/>
              <w:right w:val="single" w:sz="4" w:space="0" w:color="auto"/>
            </w:tcBorders>
            <w:shd w:val="clear" w:color="000000" w:fill="99CC00"/>
            <w:noWrap/>
            <w:vAlign w:val="bottom"/>
            <w:hideMark/>
          </w:tcPr>
          <w:p w14:paraId="2E7642A7" w14:textId="77777777" w:rsidR="004622A0" w:rsidRPr="00CC6EE8" w:rsidRDefault="004622A0" w:rsidP="00D34AAD">
            <w:pPr>
              <w:rPr>
                <w:rFonts w:cs="Calibri"/>
                <w:b/>
                <w:bCs/>
                <w:color w:val="000000"/>
              </w:rPr>
            </w:pPr>
            <w:r w:rsidRPr="00CC6EE8">
              <w:rPr>
                <w:rFonts w:cs="Calibri"/>
                <w:b/>
                <w:bCs/>
                <w:color w:val="000000"/>
              </w:rPr>
              <w:t>1.časť</w:t>
            </w:r>
          </w:p>
        </w:tc>
        <w:tc>
          <w:tcPr>
            <w:tcW w:w="725" w:type="dxa"/>
            <w:tcBorders>
              <w:top w:val="nil"/>
              <w:left w:val="nil"/>
              <w:bottom w:val="single" w:sz="4" w:space="0" w:color="auto"/>
              <w:right w:val="single" w:sz="4" w:space="0" w:color="auto"/>
            </w:tcBorders>
            <w:shd w:val="clear" w:color="000000" w:fill="99CC00"/>
            <w:vAlign w:val="bottom"/>
            <w:hideMark/>
          </w:tcPr>
          <w:p w14:paraId="09E7C561" w14:textId="77777777" w:rsidR="004622A0" w:rsidRPr="00CC6EE8" w:rsidRDefault="004622A0" w:rsidP="00D34AAD">
            <w:pPr>
              <w:rPr>
                <w:rFonts w:cs="Calibri"/>
                <w:b/>
                <w:bCs/>
                <w:color w:val="000000"/>
              </w:rPr>
            </w:pPr>
            <w:r w:rsidRPr="00CC6EE8">
              <w:rPr>
                <w:rFonts w:cs="Calibri"/>
                <w:b/>
                <w:bCs/>
                <w:color w:val="000000"/>
              </w:rPr>
              <w:t> </w:t>
            </w:r>
          </w:p>
        </w:tc>
        <w:tc>
          <w:tcPr>
            <w:tcW w:w="1640" w:type="dxa"/>
            <w:tcBorders>
              <w:top w:val="nil"/>
              <w:left w:val="nil"/>
              <w:bottom w:val="single" w:sz="4" w:space="0" w:color="auto"/>
              <w:right w:val="single" w:sz="4" w:space="0" w:color="auto"/>
            </w:tcBorders>
            <w:shd w:val="clear" w:color="000000" w:fill="99CC00"/>
            <w:vAlign w:val="bottom"/>
            <w:hideMark/>
          </w:tcPr>
          <w:p w14:paraId="1B8BE35F" w14:textId="77777777" w:rsidR="004622A0" w:rsidRPr="00CC6EE8" w:rsidRDefault="004622A0" w:rsidP="00D34AAD">
            <w:pPr>
              <w:rPr>
                <w:rFonts w:cs="Calibri"/>
                <w:b/>
                <w:bCs/>
                <w:color w:val="000000"/>
              </w:rPr>
            </w:pPr>
            <w:r w:rsidRPr="00CC6EE8">
              <w:rPr>
                <w:rFonts w:cs="Calibri"/>
                <w:b/>
                <w:bCs/>
                <w:color w:val="000000"/>
              </w:rPr>
              <w:t> </w:t>
            </w:r>
          </w:p>
        </w:tc>
        <w:tc>
          <w:tcPr>
            <w:tcW w:w="1463" w:type="dxa"/>
            <w:tcBorders>
              <w:top w:val="nil"/>
              <w:left w:val="nil"/>
              <w:bottom w:val="single" w:sz="4" w:space="0" w:color="auto"/>
              <w:right w:val="single" w:sz="4" w:space="0" w:color="auto"/>
            </w:tcBorders>
            <w:shd w:val="clear" w:color="000000" w:fill="99CC00"/>
            <w:vAlign w:val="bottom"/>
            <w:hideMark/>
          </w:tcPr>
          <w:p w14:paraId="609E71C7" w14:textId="77777777" w:rsidR="004622A0" w:rsidRPr="00CC6EE8" w:rsidRDefault="004622A0" w:rsidP="00D34AAD">
            <w:pPr>
              <w:rPr>
                <w:rFonts w:cs="Calibri"/>
                <w:b/>
                <w:bCs/>
                <w:color w:val="000000"/>
              </w:rPr>
            </w:pPr>
            <w:r w:rsidRPr="00CC6EE8">
              <w:rPr>
                <w:rFonts w:cs="Calibri"/>
                <w:b/>
                <w:bCs/>
                <w:color w:val="000000"/>
              </w:rPr>
              <w:t> </w:t>
            </w:r>
          </w:p>
        </w:tc>
      </w:tr>
      <w:tr w:rsidR="004622A0" w:rsidRPr="00CC6EE8" w14:paraId="2815BD32"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AC2C5" w14:textId="77777777" w:rsidR="004622A0" w:rsidRPr="00CC6EE8" w:rsidRDefault="004622A0" w:rsidP="00D34AAD">
            <w:pPr>
              <w:rPr>
                <w:rFonts w:cs="Arial"/>
                <w:szCs w:val="20"/>
              </w:rPr>
            </w:pPr>
            <w:proofErr w:type="spellStart"/>
            <w:r w:rsidRPr="00CC6EE8">
              <w:rPr>
                <w:rFonts w:cs="Arial"/>
                <w:szCs w:val="20"/>
              </w:rPr>
              <w:t>Aceclofenak</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132F03BE"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AF5363" w14:textId="77777777" w:rsidR="004622A0" w:rsidRPr="00CC6EE8" w:rsidRDefault="004622A0" w:rsidP="00D34AAD">
            <w:pPr>
              <w:rPr>
                <w:rFonts w:cs="Arial"/>
                <w:szCs w:val="20"/>
              </w:rPr>
            </w:pPr>
            <w:r w:rsidRPr="00CC6EE8">
              <w:rPr>
                <w:rFonts w:cs="Arial"/>
                <w:szCs w:val="20"/>
              </w:rPr>
              <w:t>1x100mg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A1EBBC2" w14:textId="77777777" w:rsidR="004622A0" w:rsidRPr="00CC6EE8" w:rsidRDefault="004622A0" w:rsidP="00D34AAD">
            <w:pPr>
              <w:jc w:val="right"/>
              <w:rPr>
                <w:rFonts w:cs="Arial"/>
                <w:szCs w:val="20"/>
              </w:rPr>
            </w:pPr>
            <w:r>
              <w:rPr>
                <w:rFonts w:cs="Arial"/>
                <w:szCs w:val="20"/>
              </w:rPr>
              <w:t>1500</w:t>
            </w:r>
          </w:p>
        </w:tc>
      </w:tr>
      <w:tr w:rsidR="004622A0" w:rsidRPr="00CC6EE8" w14:paraId="78262A58"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7F816" w14:textId="77777777" w:rsidR="004622A0" w:rsidRPr="00CC6EE8" w:rsidRDefault="004622A0" w:rsidP="00D34AAD">
            <w:pPr>
              <w:rPr>
                <w:rFonts w:cs="Arial"/>
                <w:szCs w:val="20"/>
              </w:rPr>
            </w:pPr>
            <w:proofErr w:type="spellStart"/>
            <w:r w:rsidRPr="00CC6EE8">
              <w:rPr>
                <w:rFonts w:cs="Arial"/>
                <w:szCs w:val="20"/>
              </w:rPr>
              <w:t>Diklofenak</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7DC5446C" w14:textId="77777777" w:rsidR="004622A0" w:rsidRPr="00CC6EE8" w:rsidRDefault="004622A0" w:rsidP="00D34AAD">
            <w:pPr>
              <w:rPr>
                <w:rFonts w:cs="Arial"/>
                <w:szCs w:val="20"/>
              </w:rPr>
            </w:pPr>
            <w:proofErr w:type="spellStart"/>
            <w:r w:rsidRPr="00CC6EE8">
              <w:rPr>
                <w:rFonts w:cs="Arial"/>
                <w:szCs w:val="20"/>
              </w:rPr>
              <w:t>inj</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DEDAAC" w14:textId="77777777" w:rsidR="004622A0" w:rsidRPr="00CC6EE8" w:rsidRDefault="004622A0" w:rsidP="00D34AAD">
            <w:pPr>
              <w:rPr>
                <w:rFonts w:cs="Arial"/>
                <w:szCs w:val="20"/>
              </w:rPr>
            </w:pPr>
            <w:r w:rsidRPr="00CC6EE8">
              <w:rPr>
                <w:rFonts w:cs="Arial"/>
                <w:szCs w:val="20"/>
              </w:rPr>
              <w:t>1x1ml/50mg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777C0A3" w14:textId="77777777" w:rsidR="004622A0" w:rsidRPr="00CC6EE8" w:rsidRDefault="004622A0" w:rsidP="00D34AAD">
            <w:pPr>
              <w:jc w:val="right"/>
              <w:rPr>
                <w:rFonts w:cs="Arial"/>
                <w:szCs w:val="20"/>
              </w:rPr>
            </w:pPr>
            <w:r>
              <w:rPr>
                <w:rFonts w:cs="Arial"/>
                <w:szCs w:val="20"/>
              </w:rPr>
              <w:t>2250</w:t>
            </w:r>
          </w:p>
        </w:tc>
      </w:tr>
      <w:tr w:rsidR="004622A0" w:rsidRPr="00CC6EE8" w14:paraId="04FA97F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358D8" w14:textId="77777777" w:rsidR="004622A0" w:rsidRPr="00CC6EE8" w:rsidRDefault="004622A0" w:rsidP="00D34AAD">
            <w:pPr>
              <w:rPr>
                <w:rFonts w:cs="Arial"/>
                <w:szCs w:val="20"/>
              </w:rPr>
            </w:pPr>
            <w:proofErr w:type="spellStart"/>
            <w:r w:rsidRPr="00CC6EE8">
              <w:rPr>
                <w:rFonts w:cs="Arial"/>
                <w:szCs w:val="20"/>
              </w:rPr>
              <w:t>Diklofenak</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2BE43F72" w14:textId="77777777" w:rsidR="004622A0" w:rsidRPr="00CC6EE8" w:rsidRDefault="004622A0" w:rsidP="00D34AAD">
            <w:pPr>
              <w:rPr>
                <w:rFonts w:cs="Arial"/>
                <w:szCs w:val="20"/>
              </w:rPr>
            </w:pPr>
            <w:proofErr w:type="spellStart"/>
            <w:r w:rsidRPr="00CC6EE8">
              <w:rPr>
                <w:rFonts w:cs="Arial"/>
                <w:szCs w:val="20"/>
              </w:rPr>
              <w:t>inj</w:t>
            </w:r>
            <w:proofErr w:type="spellEnd"/>
            <w:r w:rsidRPr="00CC6EE8">
              <w:rPr>
                <w:rFonts w:cs="Arial"/>
                <w:szCs w:val="20"/>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62BE52" w14:textId="77777777" w:rsidR="004622A0" w:rsidRPr="00CC6EE8" w:rsidRDefault="004622A0" w:rsidP="00D34AAD">
            <w:pPr>
              <w:rPr>
                <w:rFonts w:cs="Arial"/>
                <w:szCs w:val="20"/>
              </w:rPr>
            </w:pPr>
            <w:r w:rsidRPr="00CC6EE8">
              <w:rPr>
                <w:rFonts w:cs="Arial"/>
                <w:szCs w:val="20"/>
              </w:rPr>
              <w:t>1x1ml/75mg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5D2C3BAF" w14:textId="77777777" w:rsidR="004622A0" w:rsidRPr="00CC6EE8" w:rsidRDefault="004622A0" w:rsidP="00D34AAD">
            <w:pPr>
              <w:jc w:val="right"/>
              <w:rPr>
                <w:rFonts w:cs="Arial"/>
                <w:szCs w:val="20"/>
              </w:rPr>
            </w:pPr>
            <w:r>
              <w:rPr>
                <w:rFonts w:cs="Arial"/>
                <w:szCs w:val="20"/>
              </w:rPr>
              <w:t>2100</w:t>
            </w:r>
          </w:p>
        </w:tc>
      </w:tr>
      <w:tr w:rsidR="004622A0" w:rsidRPr="00CC6EE8" w14:paraId="7223CE31"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C8F0" w14:textId="77777777" w:rsidR="004622A0" w:rsidRPr="00CC6EE8" w:rsidRDefault="004622A0" w:rsidP="00D34AAD">
            <w:pPr>
              <w:rPr>
                <w:rFonts w:cs="Arial"/>
                <w:szCs w:val="20"/>
              </w:rPr>
            </w:pPr>
            <w:proofErr w:type="spellStart"/>
            <w:r w:rsidRPr="00CC6EE8">
              <w:rPr>
                <w:rFonts w:cs="Arial"/>
                <w:szCs w:val="20"/>
              </w:rPr>
              <w:t>Diklofenak</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1F1A549D" w14:textId="77777777" w:rsidR="004622A0" w:rsidRPr="00CC6EE8" w:rsidRDefault="004622A0" w:rsidP="00D34AAD">
            <w:pPr>
              <w:rPr>
                <w:rFonts w:cs="Arial"/>
                <w:szCs w:val="20"/>
              </w:rPr>
            </w:pPr>
            <w:proofErr w:type="spellStart"/>
            <w:r w:rsidRPr="00CC6EE8">
              <w:rPr>
                <w:rFonts w:cs="Arial"/>
                <w:szCs w:val="20"/>
              </w:rPr>
              <w:t>inj</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02CD211" w14:textId="77777777" w:rsidR="004622A0" w:rsidRPr="00CC6EE8" w:rsidRDefault="004622A0" w:rsidP="00D34AAD">
            <w:pPr>
              <w:rPr>
                <w:rFonts w:cs="Arial"/>
                <w:szCs w:val="20"/>
              </w:rPr>
            </w:pPr>
            <w:r w:rsidRPr="00CC6EE8">
              <w:rPr>
                <w:rFonts w:cs="Arial"/>
                <w:szCs w:val="20"/>
              </w:rPr>
              <w:t>1x3ml/75mg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283B781" w14:textId="77777777" w:rsidR="004622A0" w:rsidRPr="00CC6EE8" w:rsidRDefault="004622A0" w:rsidP="00D34AAD">
            <w:pPr>
              <w:jc w:val="right"/>
              <w:rPr>
                <w:rFonts w:cs="Arial"/>
                <w:szCs w:val="20"/>
              </w:rPr>
            </w:pPr>
            <w:r>
              <w:rPr>
                <w:rFonts w:cs="Arial"/>
                <w:szCs w:val="20"/>
              </w:rPr>
              <w:t>16</w:t>
            </w:r>
            <w:r w:rsidRPr="00CC6EE8">
              <w:rPr>
                <w:rFonts w:cs="Arial"/>
                <w:szCs w:val="20"/>
              </w:rPr>
              <w:t>000</w:t>
            </w:r>
          </w:p>
        </w:tc>
      </w:tr>
      <w:tr w:rsidR="004622A0" w:rsidRPr="00CC6EE8" w14:paraId="032DD84B"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1114" w14:textId="77777777" w:rsidR="004622A0" w:rsidRPr="00CC6EE8" w:rsidRDefault="004622A0" w:rsidP="00D34AAD">
            <w:pPr>
              <w:rPr>
                <w:rFonts w:cs="Arial"/>
                <w:szCs w:val="20"/>
              </w:rPr>
            </w:pPr>
            <w:proofErr w:type="spellStart"/>
            <w:r w:rsidRPr="00CC6EE8">
              <w:rPr>
                <w:rFonts w:cs="Arial"/>
                <w:szCs w:val="20"/>
              </w:rPr>
              <w:t>Diklofenak</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15E2008" w14:textId="77777777" w:rsidR="004622A0" w:rsidRPr="00CC6EE8" w:rsidRDefault="004622A0" w:rsidP="00D34AAD">
            <w:pPr>
              <w:rPr>
                <w:rFonts w:cs="Arial"/>
                <w:szCs w:val="20"/>
              </w:rPr>
            </w:pPr>
            <w:proofErr w:type="spellStart"/>
            <w:r w:rsidRPr="00CC6EE8">
              <w:rPr>
                <w:rFonts w:cs="Arial"/>
                <w:szCs w:val="20"/>
              </w:rPr>
              <w:t>gra</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FF9EBD" w14:textId="77777777" w:rsidR="004622A0" w:rsidRPr="00CC6EE8" w:rsidRDefault="004622A0" w:rsidP="00D34AAD">
            <w:pPr>
              <w:rPr>
                <w:rFonts w:cs="Arial"/>
                <w:szCs w:val="20"/>
              </w:rPr>
            </w:pPr>
            <w:r w:rsidRPr="00CC6EE8">
              <w:rPr>
                <w:rFonts w:cs="Arial"/>
                <w:szCs w:val="20"/>
              </w:rPr>
              <w:t>1x50mg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379653F" w14:textId="77777777" w:rsidR="004622A0" w:rsidRPr="00CC6EE8" w:rsidRDefault="004622A0" w:rsidP="00D34AAD">
            <w:pPr>
              <w:jc w:val="right"/>
              <w:rPr>
                <w:rFonts w:cs="Arial"/>
                <w:szCs w:val="20"/>
              </w:rPr>
            </w:pPr>
            <w:r>
              <w:rPr>
                <w:rFonts w:cs="Arial"/>
                <w:szCs w:val="20"/>
              </w:rPr>
              <w:t>2</w:t>
            </w:r>
            <w:r w:rsidRPr="00CC6EE8">
              <w:rPr>
                <w:rFonts w:cs="Arial"/>
                <w:szCs w:val="20"/>
              </w:rPr>
              <w:t>00</w:t>
            </w:r>
          </w:p>
        </w:tc>
      </w:tr>
      <w:tr w:rsidR="004622A0" w:rsidRPr="00CC6EE8" w14:paraId="529B1C0A"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546B" w14:textId="77777777" w:rsidR="004622A0" w:rsidRPr="00CC6EE8" w:rsidRDefault="004622A0" w:rsidP="00D34AAD">
            <w:pPr>
              <w:rPr>
                <w:rFonts w:cs="Arial"/>
                <w:szCs w:val="20"/>
              </w:rPr>
            </w:pPr>
            <w:proofErr w:type="spellStart"/>
            <w:r w:rsidRPr="00CC6EE8">
              <w:rPr>
                <w:rFonts w:cs="Arial"/>
                <w:szCs w:val="20"/>
              </w:rPr>
              <w:t>Diklofenak</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7CE655ED" w14:textId="77777777" w:rsidR="004622A0" w:rsidRPr="00CC6EE8" w:rsidRDefault="004622A0" w:rsidP="00D34AAD">
            <w:pPr>
              <w:rPr>
                <w:rFonts w:cs="Arial"/>
                <w:szCs w:val="20"/>
              </w:rPr>
            </w:pPr>
            <w:proofErr w:type="spellStart"/>
            <w:r w:rsidRPr="00CC6EE8">
              <w:rPr>
                <w:rFonts w:cs="Arial"/>
                <w:szCs w:val="20"/>
              </w:rPr>
              <w:t>tbl</w:t>
            </w:r>
            <w:proofErr w:type="spellEnd"/>
            <w:r w:rsidRPr="00CC6EE8">
              <w:rPr>
                <w:rFonts w:cs="Arial"/>
                <w:szCs w:val="20"/>
              </w:rPr>
              <w:t xml:space="preserve"> </w:t>
            </w:r>
            <w:proofErr w:type="spellStart"/>
            <w:r w:rsidRPr="00CC6EE8">
              <w:rPr>
                <w:rFonts w:cs="Arial"/>
                <w:szCs w:val="20"/>
              </w:rPr>
              <w:t>flm</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B7B59C3" w14:textId="77777777" w:rsidR="004622A0" w:rsidRPr="00CC6EE8" w:rsidRDefault="004622A0" w:rsidP="00D34AAD">
            <w:pPr>
              <w:rPr>
                <w:rFonts w:cs="Arial"/>
                <w:szCs w:val="20"/>
              </w:rPr>
            </w:pPr>
            <w:r w:rsidRPr="00CC6EE8">
              <w:rPr>
                <w:rFonts w:cs="Arial"/>
                <w:szCs w:val="20"/>
              </w:rPr>
              <w:t>1x50mg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62F60A3" w14:textId="77777777" w:rsidR="004622A0" w:rsidRPr="00CC6EE8" w:rsidRDefault="004622A0" w:rsidP="00D34AAD">
            <w:pPr>
              <w:jc w:val="right"/>
              <w:rPr>
                <w:rFonts w:cs="Arial"/>
                <w:szCs w:val="20"/>
              </w:rPr>
            </w:pPr>
            <w:r>
              <w:rPr>
                <w:rFonts w:cs="Arial"/>
                <w:szCs w:val="20"/>
              </w:rPr>
              <w:t>2500</w:t>
            </w:r>
          </w:p>
        </w:tc>
      </w:tr>
      <w:tr w:rsidR="004622A0" w:rsidRPr="00CC6EE8" w14:paraId="4E78F9B8"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F88C5" w14:textId="77777777" w:rsidR="004622A0" w:rsidRPr="00CC6EE8" w:rsidRDefault="004622A0" w:rsidP="00D34AAD">
            <w:pPr>
              <w:rPr>
                <w:rFonts w:cs="Arial"/>
                <w:szCs w:val="20"/>
              </w:rPr>
            </w:pPr>
            <w:proofErr w:type="spellStart"/>
            <w:r w:rsidRPr="00CC6EE8">
              <w:rPr>
                <w:rFonts w:cs="Arial"/>
                <w:szCs w:val="20"/>
              </w:rPr>
              <w:t>Diklofenak</w:t>
            </w:r>
            <w:proofErr w:type="spellEnd"/>
            <w:r w:rsidRPr="00CC6EE8">
              <w:rPr>
                <w:rFonts w:cs="Arial"/>
                <w:szCs w:val="20"/>
              </w:rPr>
              <w:t>, kombinácie</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47EBEF0" w14:textId="77777777" w:rsidR="004622A0" w:rsidRPr="00CC6EE8" w:rsidRDefault="004622A0" w:rsidP="00D34AAD">
            <w:pPr>
              <w:rPr>
                <w:rFonts w:cs="Arial"/>
                <w:szCs w:val="20"/>
              </w:rPr>
            </w:pPr>
            <w:proofErr w:type="spellStart"/>
            <w:r w:rsidRPr="00CC6EE8">
              <w:rPr>
                <w:rFonts w:cs="Arial"/>
                <w:szCs w:val="20"/>
              </w:rPr>
              <w:t>tbl</w:t>
            </w:r>
            <w:proofErr w:type="spellEnd"/>
            <w:r w:rsidRPr="00CC6EE8">
              <w:rPr>
                <w:rFonts w:cs="Arial"/>
                <w:szCs w:val="20"/>
              </w:rPr>
              <w:t xml:space="preserve"> </w:t>
            </w:r>
            <w:proofErr w:type="spellStart"/>
            <w:r w:rsidRPr="00CC6EE8">
              <w:rPr>
                <w:rFonts w:cs="Arial"/>
                <w:szCs w:val="20"/>
              </w:rPr>
              <w:t>flm</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6FE112" w14:textId="77777777" w:rsidR="004622A0" w:rsidRPr="00CC6EE8" w:rsidRDefault="004622A0" w:rsidP="00D34AAD">
            <w:pPr>
              <w:rPr>
                <w:rFonts w:cs="Arial"/>
                <w:szCs w:val="20"/>
              </w:rPr>
            </w:pPr>
            <w:r w:rsidRPr="00CC6EE8">
              <w:rPr>
                <w:rFonts w:cs="Arial"/>
                <w:szCs w:val="20"/>
              </w:rPr>
              <w:t>1x75mg/200ug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81A27E2" w14:textId="77777777" w:rsidR="004622A0" w:rsidRPr="00CC6EE8" w:rsidRDefault="004622A0" w:rsidP="00D34AAD">
            <w:pPr>
              <w:jc w:val="right"/>
              <w:rPr>
                <w:rFonts w:cs="Arial"/>
                <w:szCs w:val="20"/>
              </w:rPr>
            </w:pPr>
            <w:r>
              <w:rPr>
                <w:rFonts w:cs="Arial"/>
                <w:szCs w:val="20"/>
              </w:rPr>
              <w:t>300</w:t>
            </w:r>
          </w:p>
        </w:tc>
      </w:tr>
      <w:tr w:rsidR="004622A0" w:rsidRPr="00CC6EE8" w14:paraId="342C7DAD"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E1E9" w14:textId="77777777" w:rsidR="004622A0" w:rsidRPr="00CC6EE8" w:rsidRDefault="004622A0" w:rsidP="00D34AAD">
            <w:pPr>
              <w:rPr>
                <w:rFonts w:cs="Arial"/>
                <w:szCs w:val="20"/>
              </w:rPr>
            </w:pPr>
            <w:proofErr w:type="spellStart"/>
            <w:r w:rsidRPr="00CC6EE8">
              <w:rPr>
                <w:rFonts w:cs="Arial"/>
                <w:szCs w:val="20"/>
              </w:rPr>
              <w:t>Ibuprofen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2CB767DC" w14:textId="77777777" w:rsidR="004622A0" w:rsidRPr="00CC6EE8" w:rsidRDefault="004622A0" w:rsidP="00D34AAD">
            <w:pPr>
              <w:rPr>
                <w:rFonts w:cs="Arial"/>
                <w:szCs w:val="20"/>
              </w:rPr>
            </w:pPr>
            <w:proofErr w:type="spellStart"/>
            <w:r w:rsidRPr="00CC6EE8">
              <w:rPr>
                <w:rFonts w:cs="Arial"/>
                <w:szCs w:val="20"/>
              </w:rPr>
              <w:t>tbl</w:t>
            </w:r>
            <w:proofErr w:type="spellEnd"/>
            <w:r w:rsidRPr="00CC6EE8">
              <w:rPr>
                <w:rFonts w:cs="Arial"/>
                <w:szCs w:val="20"/>
              </w:rPr>
              <w:t xml:space="preserve"> </w:t>
            </w:r>
            <w:proofErr w:type="spellStart"/>
            <w:r w:rsidRPr="00CC6EE8">
              <w:rPr>
                <w:rFonts w:cs="Arial"/>
                <w:szCs w:val="20"/>
              </w:rPr>
              <w:t>flm</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182FF4" w14:textId="77777777" w:rsidR="004622A0" w:rsidRPr="00CC6EE8" w:rsidRDefault="004622A0" w:rsidP="00D34AAD">
            <w:pPr>
              <w:rPr>
                <w:rFonts w:cs="Arial"/>
                <w:szCs w:val="20"/>
              </w:rPr>
            </w:pPr>
            <w:r w:rsidRPr="00CC6EE8">
              <w:rPr>
                <w:rFonts w:cs="Arial"/>
                <w:szCs w:val="20"/>
              </w:rPr>
              <w:t>1x400mg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1F44CA1" w14:textId="77777777" w:rsidR="004622A0" w:rsidRPr="00CC6EE8" w:rsidRDefault="004622A0" w:rsidP="00D34AAD">
            <w:pPr>
              <w:jc w:val="right"/>
              <w:rPr>
                <w:rFonts w:cs="Arial"/>
                <w:szCs w:val="20"/>
              </w:rPr>
            </w:pPr>
            <w:r>
              <w:rPr>
                <w:rFonts w:cs="Arial"/>
                <w:szCs w:val="20"/>
              </w:rPr>
              <w:t>35000</w:t>
            </w:r>
          </w:p>
        </w:tc>
      </w:tr>
      <w:tr w:rsidR="004622A0" w:rsidRPr="00CC6EE8" w14:paraId="5EB4D48D"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E30BD" w14:textId="77777777" w:rsidR="004622A0" w:rsidRPr="00CC6EE8" w:rsidRDefault="004622A0" w:rsidP="00D34AAD">
            <w:pPr>
              <w:rPr>
                <w:rFonts w:cs="Arial"/>
                <w:szCs w:val="20"/>
              </w:rPr>
            </w:pPr>
            <w:proofErr w:type="spellStart"/>
            <w:r w:rsidRPr="00CC6EE8">
              <w:rPr>
                <w:rFonts w:cs="Arial"/>
                <w:szCs w:val="20"/>
              </w:rPr>
              <w:t>Ibuprofen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C0082CC" w14:textId="77777777" w:rsidR="004622A0" w:rsidRPr="00CC6EE8" w:rsidRDefault="004622A0" w:rsidP="00D34AAD">
            <w:pPr>
              <w:rPr>
                <w:rFonts w:cs="Arial"/>
                <w:szCs w:val="20"/>
              </w:rPr>
            </w:pPr>
            <w:proofErr w:type="spellStart"/>
            <w:r w:rsidRPr="00CC6EE8">
              <w:rPr>
                <w:rFonts w:cs="Arial"/>
                <w:szCs w:val="20"/>
              </w:rPr>
              <w:t>sus</w:t>
            </w:r>
            <w:proofErr w:type="spellEnd"/>
            <w:r w:rsidRPr="00CC6EE8">
              <w:rPr>
                <w:rFonts w:cs="Arial"/>
                <w:szCs w:val="20"/>
              </w:rPr>
              <w:t xml:space="preserve"> </w:t>
            </w:r>
            <w:proofErr w:type="spellStart"/>
            <w:r w:rsidRPr="00CC6EE8">
              <w:rPr>
                <w:rFonts w:cs="Arial"/>
                <w:szCs w:val="20"/>
              </w:rPr>
              <w:t>por</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A6B888" w14:textId="77777777" w:rsidR="004622A0" w:rsidRPr="00CC6EE8" w:rsidRDefault="004622A0" w:rsidP="00D34AAD">
            <w:pPr>
              <w:rPr>
                <w:rFonts w:cs="Arial"/>
                <w:szCs w:val="20"/>
              </w:rPr>
            </w:pPr>
            <w:r w:rsidRPr="00CC6EE8">
              <w:rPr>
                <w:rFonts w:cs="Arial"/>
                <w:szCs w:val="20"/>
              </w:rPr>
              <w:t>1X100ml/1ml/20mg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9020CE0" w14:textId="77777777" w:rsidR="004622A0" w:rsidRPr="00CC6EE8" w:rsidRDefault="004622A0" w:rsidP="00D34AAD">
            <w:pPr>
              <w:jc w:val="right"/>
              <w:rPr>
                <w:rFonts w:cs="Arial"/>
                <w:szCs w:val="20"/>
              </w:rPr>
            </w:pPr>
            <w:r>
              <w:rPr>
                <w:rFonts w:cs="Arial"/>
                <w:szCs w:val="20"/>
              </w:rPr>
              <w:t>6</w:t>
            </w:r>
            <w:r w:rsidRPr="00CC6EE8">
              <w:rPr>
                <w:rFonts w:cs="Arial"/>
                <w:szCs w:val="20"/>
              </w:rPr>
              <w:t>0</w:t>
            </w:r>
          </w:p>
        </w:tc>
      </w:tr>
      <w:tr w:rsidR="004622A0" w:rsidRPr="00CC6EE8" w14:paraId="092223CB"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03B5" w14:textId="77777777" w:rsidR="004622A0" w:rsidRPr="00CC6EE8" w:rsidRDefault="004622A0" w:rsidP="00D34AAD">
            <w:pPr>
              <w:rPr>
                <w:rFonts w:cs="Arial"/>
                <w:szCs w:val="20"/>
              </w:rPr>
            </w:pPr>
            <w:proofErr w:type="spellStart"/>
            <w:r w:rsidRPr="00CC6EE8">
              <w:rPr>
                <w:rFonts w:cs="Arial"/>
                <w:szCs w:val="20"/>
              </w:rPr>
              <w:t>Ibuprofen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ADA1278" w14:textId="77777777" w:rsidR="004622A0" w:rsidRPr="00CC6EE8" w:rsidRDefault="004622A0" w:rsidP="00D34AAD">
            <w:pPr>
              <w:rPr>
                <w:rFonts w:cs="Arial"/>
                <w:szCs w:val="20"/>
              </w:rPr>
            </w:pPr>
            <w:proofErr w:type="spellStart"/>
            <w:r w:rsidRPr="00CC6EE8">
              <w:rPr>
                <w:rFonts w:cs="Arial"/>
                <w:szCs w:val="20"/>
              </w:rPr>
              <w:t>sus</w:t>
            </w:r>
            <w:proofErr w:type="spellEnd"/>
            <w:r w:rsidRPr="00CC6EE8">
              <w:rPr>
                <w:rFonts w:cs="Arial"/>
                <w:szCs w:val="20"/>
              </w:rPr>
              <w:t xml:space="preserve"> </w:t>
            </w:r>
            <w:proofErr w:type="spellStart"/>
            <w:r w:rsidRPr="00CC6EE8">
              <w:rPr>
                <w:rFonts w:cs="Arial"/>
                <w:szCs w:val="20"/>
              </w:rPr>
              <w:t>por</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B0345A8" w14:textId="77777777" w:rsidR="004622A0" w:rsidRPr="00CC6EE8" w:rsidRDefault="004622A0" w:rsidP="00D34AAD">
            <w:pPr>
              <w:rPr>
                <w:rFonts w:cs="Arial"/>
                <w:szCs w:val="20"/>
              </w:rPr>
            </w:pPr>
            <w:r w:rsidRPr="00CC6EE8">
              <w:rPr>
                <w:rFonts w:cs="Arial"/>
                <w:szCs w:val="20"/>
              </w:rPr>
              <w:t>1x100ml/1ml/40mg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794237B" w14:textId="77777777" w:rsidR="004622A0" w:rsidRPr="00CC6EE8" w:rsidRDefault="004622A0" w:rsidP="00D34AAD">
            <w:pPr>
              <w:jc w:val="right"/>
              <w:rPr>
                <w:rFonts w:cs="Arial"/>
                <w:szCs w:val="20"/>
              </w:rPr>
            </w:pPr>
            <w:r>
              <w:rPr>
                <w:rFonts w:cs="Arial"/>
                <w:szCs w:val="20"/>
              </w:rPr>
              <w:t>60</w:t>
            </w:r>
          </w:p>
        </w:tc>
      </w:tr>
      <w:tr w:rsidR="004622A0" w:rsidRPr="00CC6EE8" w14:paraId="411415ED"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CAD4" w14:textId="77777777" w:rsidR="004622A0" w:rsidRPr="00CC6EE8" w:rsidRDefault="004622A0" w:rsidP="00D34AAD">
            <w:pPr>
              <w:rPr>
                <w:rFonts w:cs="Arial"/>
                <w:szCs w:val="20"/>
              </w:rPr>
            </w:pPr>
            <w:proofErr w:type="spellStart"/>
            <w:r w:rsidRPr="00CC6EE8">
              <w:rPr>
                <w:rFonts w:cs="Arial"/>
                <w:szCs w:val="20"/>
              </w:rPr>
              <w:t>Ibuprofen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B492E09"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77F566" w14:textId="77777777" w:rsidR="004622A0" w:rsidRPr="00CC6EE8" w:rsidRDefault="004622A0" w:rsidP="00D34AAD">
            <w:pPr>
              <w:rPr>
                <w:rFonts w:cs="Arial"/>
                <w:szCs w:val="20"/>
              </w:rPr>
            </w:pPr>
            <w:r w:rsidRPr="00CC6EE8">
              <w:rPr>
                <w:rFonts w:cs="Arial"/>
                <w:szCs w:val="20"/>
              </w:rPr>
              <w:t>1x200mg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20E13A3" w14:textId="77777777" w:rsidR="004622A0" w:rsidRPr="00CC6EE8" w:rsidRDefault="004622A0" w:rsidP="00D34AAD">
            <w:pPr>
              <w:jc w:val="right"/>
              <w:rPr>
                <w:rFonts w:cs="Arial"/>
                <w:szCs w:val="20"/>
              </w:rPr>
            </w:pPr>
            <w:r>
              <w:rPr>
                <w:rFonts w:cs="Arial"/>
                <w:szCs w:val="20"/>
              </w:rPr>
              <w:t>10</w:t>
            </w:r>
            <w:r w:rsidRPr="00CC6EE8">
              <w:rPr>
                <w:rFonts w:cs="Arial"/>
                <w:szCs w:val="20"/>
              </w:rPr>
              <w:t>00</w:t>
            </w:r>
          </w:p>
        </w:tc>
      </w:tr>
      <w:tr w:rsidR="004622A0" w:rsidRPr="00CC6EE8" w14:paraId="39C0B818"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0A67" w14:textId="77777777" w:rsidR="004622A0" w:rsidRPr="00CC6EE8" w:rsidRDefault="004622A0" w:rsidP="00D34AAD">
            <w:pPr>
              <w:rPr>
                <w:rFonts w:cs="Arial"/>
                <w:szCs w:val="20"/>
              </w:rPr>
            </w:pPr>
            <w:proofErr w:type="spellStart"/>
            <w:r w:rsidRPr="00CC6EE8">
              <w:rPr>
                <w:rFonts w:cs="Arial"/>
                <w:szCs w:val="20"/>
              </w:rPr>
              <w:t>Ibuprofen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28DDB13" w14:textId="77777777" w:rsidR="004622A0" w:rsidRPr="00CC6EE8" w:rsidRDefault="004622A0" w:rsidP="00D34AAD">
            <w:pPr>
              <w:rPr>
                <w:rFonts w:cs="Arial"/>
                <w:szCs w:val="20"/>
              </w:rPr>
            </w:pPr>
            <w:proofErr w:type="spellStart"/>
            <w:r w:rsidRPr="00CC6EE8">
              <w:rPr>
                <w:rFonts w:cs="Arial"/>
                <w:szCs w:val="20"/>
              </w:rPr>
              <w:t>supp</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1A3095" w14:textId="77777777" w:rsidR="004622A0" w:rsidRPr="00CC6EE8" w:rsidRDefault="004622A0" w:rsidP="00D34AAD">
            <w:pPr>
              <w:rPr>
                <w:rFonts w:cs="Arial"/>
                <w:szCs w:val="20"/>
              </w:rPr>
            </w:pPr>
            <w:r w:rsidRPr="00CC6EE8">
              <w:rPr>
                <w:rFonts w:cs="Arial"/>
                <w:szCs w:val="20"/>
              </w:rPr>
              <w:t>1x60mg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2C6A550" w14:textId="77777777" w:rsidR="004622A0" w:rsidRPr="00CC6EE8" w:rsidRDefault="004622A0" w:rsidP="00D34AAD">
            <w:pPr>
              <w:jc w:val="right"/>
              <w:rPr>
                <w:rFonts w:cs="Arial"/>
                <w:szCs w:val="20"/>
              </w:rPr>
            </w:pPr>
            <w:r>
              <w:rPr>
                <w:rFonts w:cs="Arial"/>
                <w:szCs w:val="20"/>
              </w:rPr>
              <w:t>2</w:t>
            </w:r>
            <w:r w:rsidRPr="00CC6EE8">
              <w:rPr>
                <w:rFonts w:cs="Arial"/>
                <w:szCs w:val="20"/>
              </w:rPr>
              <w:t>00</w:t>
            </w:r>
          </w:p>
        </w:tc>
      </w:tr>
      <w:tr w:rsidR="004622A0" w:rsidRPr="00CC6EE8" w14:paraId="415B849A"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35E1" w14:textId="77777777" w:rsidR="004622A0" w:rsidRPr="00CC6EE8" w:rsidRDefault="004622A0" w:rsidP="00D34AAD">
            <w:pPr>
              <w:rPr>
                <w:rFonts w:cs="Arial"/>
                <w:szCs w:val="20"/>
              </w:rPr>
            </w:pPr>
            <w:proofErr w:type="spellStart"/>
            <w:r w:rsidRPr="00CC6EE8">
              <w:rPr>
                <w:rFonts w:cs="Arial"/>
                <w:szCs w:val="20"/>
              </w:rPr>
              <w:t>Ibuprofen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616C551" w14:textId="77777777" w:rsidR="004622A0" w:rsidRPr="00CC6EE8" w:rsidRDefault="004622A0" w:rsidP="00D34AAD">
            <w:pPr>
              <w:rPr>
                <w:rFonts w:cs="Arial"/>
                <w:szCs w:val="20"/>
              </w:rPr>
            </w:pPr>
            <w:proofErr w:type="spellStart"/>
            <w:r w:rsidRPr="00CC6EE8">
              <w:rPr>
                <w:rFonts w:cs="Arial"/>
                <w:szCs w:val="20"/>
              </w:rPr>
              <w:t>supp</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9C8053" w14:textId="77777777" w:rsidR="004622A0" w:rsidRPr="00CC6EE8" w:rsidRDefault="004622A0" w:rsidP="00D34AAD">
            <w:pPr>
              <w:rPr>
                <w:rFonts w:cs="Arial"/>
                <w:szCs w:val="20"/>
              </w:rPr>
            </w:pPr>
            <w:r w:rsidRPr="00CC6EE8">
              <w:rPr>
                <w:rFonts w:cs="Arial"/>
                <w:szCs w:val="20"/>
              </w:rPr>
              <w:t>1x125mg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8F3F06D" w14:textId="77777777" w:rsidR="004622A0" w:rsidRPr="00CC6EE8" w:rsidRDefault="004622A0" w:rsidP="00D34AAD">
            <w:pPr>
              <w:jc w:val="right"/>
              <w:rPr>
                <w:rFonts w:cs="Arial"/>
                <w:szCs w:val="20"/>
              </w:rPr>
            </w:pPr>
            <w:r>
              <w:rPr>
                <w:rFonts w:cs="Arial"/>
                <w:szCs w:val="20"/>
              </w:rPr>
              <w:t>10</w:t>
            </w:r>
            <w:r w:rsidRPr="00CC6EE8">
              <w:rPr>
                <w:rFonts w:cs="Arial"/>
                <w:szCs w:val="20"/>
              </w:rPr>
              <w:t>0</w:t>
            </w:r>
          </w:p>
        </w:tc>
      </w:tr>
      <w:tr w:rsidR="004622A0" w:rsidRPr="00CC6EE8" w14:paraId="7078DC6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ADD49" w14:textId="77777777" w:rsidR="004622A0" w:rsidRPr="00CC6EE8" w:rsidRDefault="004622A0" w:rsidP="00D34AAD">
            <w:pPr>
              <w:rPr>
                <w:rFonts w:cs="Arial"/>
                <w:szCs w:val="20"/>
              </w:rPr>
            </w:pPr>
            <w:proofErr w:type="spellStart"/>
            <w:r w:rsidRPr="00CC6EE8">
              <w:rPr>
                <w:rFonts w:cs="Arial"/>
                <w:szCs w:val="20"/>
              </w:rPr>
              <w:t>Ketoprofén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29083574" w14:textId="77777777" w:rsidR="004622A0" w:rsidRPr="00CC6EE8" w:rsidRDefault="004622A0" w:rsidP="00D34AAD">
            <w:pPr>
              <w:rPr>
                <w:rFonts w:cs="Arial"/>
                <w:szCs w:val="20"/>
              </w:rPr>
            </w:pPr>
            <w:proofErr w:type="spellStart"/>
            <w:r w:rsidRPr="00CC6EE8">
              <w:rPr>
                <w:rFonts w:cs="Arial"/>
                <w:szCs w:val="20"/>
              </w:rPr>
              <w:t>inj</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F76767" w14:textId="77777777" w:rsidR="004622A0" w:rsidRPr="00CC6EE8" w:rsidRDefault="004622A0" w:rsidP="00D34AAD">
            <w:pPr>
              <w:rPr>
                <w:rFonts w:cs="Arial"/>
                <w:szCs w:val="20"/>
              </w:rPr>
            </w:pPr>
            <w:r w:rsidRPr="00CC6EE8">
              <w:rPr>
                <w:rFonts w:cs="Arial"/>
                <w:szCs w:val="20"/>
              </w:rPr>
              <w:t>1x2 ml/100 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046A01A" w14:textId="77777777" w:rsidR="004622A0" w:rsidRPr="00CC6EE8" w:rsidRDefault="004622A0" w:rsidP="00D34AAD">
            <w:pPr>
              <w:jc w:val="right"/>
              <w:rPr>
                <w:rFonts w:cs="Arial"/>
                <w:szCs w:val="20"/>
              </w:rPr>
            </w:pPr>
            <w:r>
              <w:rPr>
                <w:rFonts w:cs="Arial"/>
                <w:szCs w:val="20"/>
              </w:rPr>
              <w:t>2</w:t>
            </w:r>
            <w:r w:rsidRPr="00CC6EE8">
              <w:rPr>
                <w:rFonts w:cs="Arial"/>
                <w:szCs w:val="20"/>
              </w:rPr>
              <w:t>000</w:t>
            </w:r>
          </w:p>
        </w:tc>
      </w:tr>
      <w:tr w:rsidR="004622A0" w:rsidRPr="00CC6EE8" w14:paraId="4EAC5937"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8A1B" w14:textId="77777777" w:rsidR="004622A0" w:rsidRPr="00CC6EE8" w:rsidRDefault="004622A0" w:rsidP="00D34AAD">
            <w:pPr>
              <w:rPr>
                <w:rFonts w:cs="Arial"/>
                <w:szCs w:val="20"/>
              </w:rPr>
            </w:pPr>
            <w:proofErr w:type="spellStart"/>
            <w:r w:rsidRPr="00CC6EE8">
              <w:rPr>
                <w:rFonts w:cs="Arial"/>
                <w:szCs w:val="20"/>
              </w:rPr>
              <w:t>Meloxikam</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7980A59"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D1B851" w14:textId="77777777" w:rsidR="004622A0" w:rsidRPr="00CC6EE8" w:rsidRDefault="004622A0" w:rsidP="00D34AAD">
            <w:pPr>
              <w:rPr>
                <w:rFonts w:cs="Arial"/>
                <w:szCs w:val="20"/>
              </w:rPr>
            </w:pPr>
            <w:r w:rsidRPr="00CC6EE8">
              <w:rPr>
                <w:rFonts w:cs="Arial"/>
                <w:szCs w:val="20"/>
              </w:rPr>
              <w:t>1x15mg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E990045" w14:textId="77777777" w:rsidR="004622A0" w:rsidRPr="00CC6EE8" w:rsidRDefault="004622A0" w:rsidP="00D34AAD">
            <w:pPr>
              <w:jc w:val="right"/>
              <w:rPr>
                <w:rFonts w:cs="Arial"/>
                <w:szCs w:val="20"/>
              </w:rPr>
            </w:pPr>
            <w:r>
              <w:rPr>
                <w:rFonts w:cs="Arial"/>
                <w:szCs w:val="20"/>
              </w:rPr>
              <w:t>4</w:t>
            </w:r>
            <w:r w:rsidRPr="00CC6EE8">
              <w:rPr>
                <w:rFonts w:cs="Arial"/>
                <w:szCs w:val="20"/>
              </w:rPr>
              <w:t>00</w:t>
            </w:r>
          </w:p>
        </w:tc>
      </w:tr>
      <w:tr w:rsidR="004622A0" w:rsidRPr="00CC6EE8" w14:paraId="79E91D34"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8073" w14:textId="77777777" w:rsidR="004622A0" w:rsidRPr="00CC6EE8" w:rsidRDefault="004622A0" w:rsidP="00D34AAD">
            <w:pPr>
              <w:rPr>
                <w:rFonts w:cs="Arial"/>
                <w:szCs w:val="20"/>
              </w:rPr>
            </w:pPr>
            <w:proofErr w:type="spellStart"/>
            <w:r w:rsidRPr="00CC6EE8">
              <w:rPr>
                <w:rFonts w:cs="Arial"/>
                <w:szCs w:val="20"/>
              </w:rPr>
              <w:t>Alopurinol</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037A415"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19E671C" w14:textId="77777777" w:rsidR="004622A0" w:rsidRPr="00CC6EE8" w:rsidRDefault="004622A0" w:rsidP="00D34AAD">
            <w:pPr>
              <w:rPr>
                <w:rFonts w:cs="Arial"/>
                <w:szCs w:val="20"/>
              </w:rPr>
            </w:pPr>
            <w:r w:rsidRPr="00CC6EE8">
              <w:rPr>
                <w:rFonts w:cs="Arial"/>
                <w:szCs w:val="20"/>
              </w:rPr>
              <w:t>1x100mg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4E680D3" w14:textId="77777777" w:rsidR="004622A0" w:rsidRPr="00CC6EE8" w:rsidRDefault="004622A0" w:rsidP="00D34AAD">
            <w:pPr>
              <w:jc w:val="right"/>
              <w:rPr>
                <w:rFonts w:cs="Arial"/>
                <w:szCs w:val="20"/>
              </w:rPr>
            </w:pPr>
            <w:r>
              <w:rPr>
                <w:rFonts w:cs="Arial"/>
                <w:szCs w:val="20"/>
              </w:rPr>
              <w:t>5000</w:t>
            </w:r>
          </w:p>
        </w:tc>
      </w:tr>
      <w:tr w:rsidR="004622A0" w:rsidRPr="00CC6EE8" w14:paraId="362FE392"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4C12" w14:textId="77777777" w:rsidR="004622A0" w:rsidRPr="00CC6EE8" w:rsidRDefault="004622A0" w:rsidP="00D34AAD">
            <w:pPr>
              <w:rPr>
                <w:rFonts w:cs="Arial"/>
                <w:szCs w:val="20"/>
              </w:rPr>
            </w:pPr>
            <w:proofErr w:type="spellStart"/>
            <w:r w:rsidRPr="00CC6EE8">
              <w:rPr>
                <w:rFonts w:cs="Arial"/>
                <w:szCs w:val="20"/>
              </w:rPr>
              <w:t>Alopurinol</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7BFD5C3A"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C8097E" w14:textId="77777777" w:rsidR="004622A0" w:rsidRPr="00CC6EE8" w:rsidRDefault="004622A0" w:rsidP="00D34AAD">
            <w:pPr>
              <w:rPr>
                <w:rFonts w:cs="Arial"/>
                <w:szCs w:val="20"/>
              </w:rPr>
            </w:pPr>
            <w:r w:rsidRPr="00CC6EE8">
              <w:rPr>
                <w:rFonts w:cs="Arial"/>
                <w:szCs w:val="20"/>
              </w:rPr>
              <w:t>1x300mg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220FA52" w14:textId="77777777" w:rsidR="004622A0" w:rsidRPr="00CC6EE8" w:rsidRDefault="004622A0" w:rsidP="00D34AAD">
            <w:pPr>
              <w:jc w:val="right"/>
              <w:rPr>
                <w:rFonts w:cs="Arial"/>
                <w:szCs w:val="20"/>
              </w:rPr>
            </w:pPr>
            <w:r>
              <w:rPr>
                <w:rFonts w:cs="Arial"/>
                <w:szCs w:val="20"/>
              </w:rPr>
              <w:t>5400</w:t>
            </w:r>
          </w:p>
        </w:tc>
      </w:tr>
      <w:tr w:rsidR="004622A0" w:rsidRPr="00CC6EE8" w14:paraId="6C4D9A9A"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A3253" w14:textId="77777777" w:rsidR="004622A0" w:rsidRPr="00CC6EE8" w:rsidRDefault="004622A0" w:rsidP="00D34AAD">
            <w:pPr>
              <w:rPr>
                <w:rFonts w:cs="Arial"/>
                <w:szCs w:val="20"/>
              </w:rPr>
            </w:pPr>
            <w:r w:rsidRPr="00CC6EE8">
              <w:rPr>
                <w:rFonts w:cs="Arial"/>
                <w:szCs w:val="20"/>
              </w:rPr>
              <w:t xml:space="preserve">Kyselina </w:t>
            </w:r>
            <w:proofErr w:type="spellStart"/>
            <w:r w:rsidRPr="00CC6EE8">
              <w:rPr>
                <w:rFonts w:cs="Arial"/>
                <w:szCs w:val="20"/>
              </w:rPr>
              <w:t>zolendronová</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61A995A2" w14:textId="77777777" w:rsidR="004622A0" w:rsidRPr="00CC6EE8" w:rsidRDefault="004622A0" w:rsidP="00D34AAD">
            <w:pPr>
              <w:rPr>
                <w:rFonts w:cs="Arial"/>
                <w:szCs w:val="20"/>
              </w:rPr>
            </w:pPr>
            <w:proofErr w:type="spellStart"/>
            <w:r w:rsidRPr="00CC6EE8">
              <w:rPr>
                <w:rFonts w:cs="Arial"/>
                <w:szCs w:val="20"/>
              </w:rPr>
              <w:t>sol</w:t>
            </w:r>
            <w:proofErr w:type="spellEnd"/>
            <w:r w:rsidRPr="00CC6EE8">
              <w:rPr>
                <w:rFonts w:cs="Arial"/>
                <w:szCs w:val="20"/>
              </w:rPr>
              <w:t xml:space="preserve"> </w:t>
            </w:r>
            <w:proofErr w:type="spellStart"/>
            <w:r w:rsidRPr="00CC6EE8">
              <w:rPr>
                <w:rFonts w:cs="Arial"/>
                <w:szCs w:val="20"/>
              </w:rPr>
              <w:t>inf</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DE4EE1" w14:textId="77777777" w:rsidR="004622A0" w:rsidRPr="00CC6EE8" w:rsidRDefault="004622A0" w:rsidP="00D34AAD">
            <w:pPr>
              <w:rPr>
                <w:rFonts w:cs="Arial"/>
                <w:szCs w:val="20"/>
              </w:rPr>
            </w:pPr>
            <w:r w:rsidRPr="00CC6EE8">
              <w:rPr>
                <w:rFonts w:cs="Arial"/>
                <w:szCs w:val="20"/>
              </w:rPr>
              <w:t>1x100ml/4mg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0884DE37" w14:textId="77777777" w:rsidR="004622A0" w:rsidRPr="00CC6EE8" w:rsidRDefault="004622A0" w:rsidP="00D34AAD">
            <w:pPr>
              <w:jc w:val="right"/>
              <w:rPr>
                <w:rFonts w:cs="Arial"/>
                <w:szCs w:val="20"/>
              </w:rPr>
            </w:pPr>
            <w:r>
              <w:rPr>
                <w:rFonts w:cs="Arial"/>
                <w:szCs w:val="20"/>
              </w:rPr>
              <w:t>30</w:t>
            </w:r>
          </w:p>
        </w:tc>
      </w:tr>
      <w:tr w:rsidR="004622A0" w:rsidRPr="00CC6EE8" w14:paraId="11FE7C6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EFBE"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86A3826"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F8C179"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B233D95" w14:textId="77777777" w:rsidR="004622A0" w:rsidRPr="00CC6EE8" w:rsidRDefault="004622A0" w:rsidP="00D34AAD">
            <w:pPr>
              <w:rPr>
                <w:rFonts w:cs="Arial"/>
                <w:szCs w:val="20"/>
              </w:rPr>
            </w:pPr>
          </w:p>
        </w:tc>
      </w:tr>
      <w:tr w:rsidR="004622A0" w:rsidRPr="00CC6EE8" w14:paraId="2D28F0F8"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792D"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94D9ECB"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1D1BDDF"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66DCB9C" w14:textId="77777777" w:rsidR="004622A0" w:rsidRPr="00CC6EE8" w:rsidRDefault="004622A0" w:rsidP="00D34AAD">
            <w:pPr>
              <w:rPr>
                <w:rFonts w:cs="Arial"/>
                <w:szCs w:val="20"/>
              </w:rPr>
            </w:pPr>
          </w:p>
        </w:tc>
      </w:tr>
      <w:tr w:rsidR="004622A0" w:rsidRPr="00CC6EE8" w14:paraId="60075BF2"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3702" w14:textId="77777777" w:rsidR="004622A0" w:rsidRPr="00CC6EE8" w:rsidRDefault="004622A0" w:rsidP="00D34AAD">
            <w:pPr>
              <w:rPr>
                <w:rFonts w:cs="Arial"/>
                <w:b/>
                <w:bCs/>
                <w:szCs w:val="20"/>
              </w:rPr>
            </w:pPr>
            <w:r w:rsidRPr="00CC6EE8">
              <w:rPr>
                <w:rFonts w:cs="Arial"/>
                <w:b/>
                <w:bCs/>
                <w:szCs w:val="20"/>
              </w:rPr>
              <w:t>2.časť</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27980432"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E5BC0C"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16BCF95" w14:textId="77777777" w:rsidR="004622A0" w:rsidRPr="00CC6EE8" w:rsidRDefault="004622A0" w:rsidP="00D34AAD">
            <w:pPr>
              <w:rPr>
                <w:rFonts w:cs="Arial"/>
                <w:szCs w:val="20"/>
              </w:rPr>
            </w:pPr>
          </w:p>
        </w:tc>
      </w:tr>
      <w:tr w:rsidR="004622A0" w:rsidRPr="00CC6EE8" w14:paraId="1D336ED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F446F" w14:textId="77777777" w:rsidR="004622A0" w:rsidRPr="00CC6EE8" w:rsidRDefault="004622A0" w:rsidP="00D34AAD">
            <w:pPr>
              <w:rPr>
                <w:rFonts w:cs="Arial"/>
                <w:szCs w:val="20"/>
              </w:rPr>
            </w:pPr>
            <w:proofErr w:type="spellStart"/>
            <w:r w:rsidRPr="00CC6EE8">
              <w:rPr>
                <w:rFonts w:cs="Arial"/>
                <w:szCs w:val="20"/>
              </w:rPr>
              <w:t>Botulotoxín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2D110EC" w14:textId="77777777" w:rsidR="004622A0" w:rsidRPr="00CC6EE8" w:rsidRDefault="004622A0" w:rsidP="00D34AAD">
            <w:pPr>
              <w:rPr>
                <w:rFonts w:cs="Arial"/>
                <w:szCs w:val="20"/>
              </w:rPr>
            </w:pPr>
            <w:proofErr w:type="spellStart"/>
            <w:r w:rsidRPr="00CC6EE8">
              <w:rPr>
                <w:rFonts w:cs="Arial"/>
                <w:szCs w:val="20"/>
              </w:rPr>
              <w:t>plv</w:t>
            </w:r>
            <w:proofErr w:type="spellEnd"/>
            <w:r w:rsidRPr="00CC6EE8">
              <w:rPr>
                <w:rFonts w:cs="Arial"/>
                <w:szCs w:val="20"/>
              </w:rPr>
              <w:t xml:space="preserve"> </w:t>
            </w:r>
            <w:proofErr w:type="spellStart"/>
            <w:r w:rsidRPr="00CC6EE8">
              <w:rPr>
                <w:rFonts w:cs="Arial"/>
                <w:szCs w:val="20"/>
              </w:rPr>
              <w:t>ino</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982E2DC" w14:textId="77777777" w:rsidR="004622A0" w:rsidRPr="00CC6EE8" w:rsidRDefault="004622A0" w:rsidP="00D34AAD">
            <w:pPr>
              <w:rPr>
                <w:rFonts w:cs="Arial"/>
                <w:szCs w:val="20"/>
              </w:rPr>
            </w:pPr>
            <w:r w:rsidRPr="00CC6EE8">
              <w:rPr>
                <w:rFonts w:cs="Arial"/>
                <w:szCs w:val="20"/>
              </w:rPr>
              <w:t>1X10ml/100U</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D45E373" w14:textId="77777777" w:rsidR="004622A0" w:rsidRPr="00CC6EE8" w:rsidRDefault="004622A0" w:rsidP="00D34AAD">
            <w:pPr>
              <w:jc w:val="right"/>
              <w:rPr>
                <w:rFonts w:cs="Arial"/>
                <w:szCs w:val="20"/>
              </w:rPr>
            </w:pPr>
            <w:r>
              <w:rPr>
                <w:rFonts w:cs="Arial"/>
                <w:szCs w:val="20"/>
              </w:rPr>
              <w:t>10</w:t>
            </w:r>
          </w:p>
        </w:tc>
      </w:tr>
      <w:tr w:rsidR="004622A0" w:rsidRPr="00CC6EE8" w14:paraId="2C27696C"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12E69" w14:textId="77777777" w:rsidR="004622A0" w:rsidRPr="00CC6EE8" w:rsidRDefault="004622A0" w:rsidP="00D34AAD">
            <w:pPr>
              <w:rPr>
                <w:rFonts w:cs="Arial"/>
                <w:szCs w:val="20"/>
              </w:rPr>
            </w:pPr>
            <w:proofErr w:type="spellStart"/>
            <w:r w:rsidRPr="00CC6EE8">
              <w:rPr>
                <w:rFonts w:cs="Arial"/>
                <w:szCs w:val="20"/>
              </w:rPr>
              <w:t>Botulotoxín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ECE6456" w14:textId="77777777" w:rsidR="004622A0" w:rsidRPr="00CC6EE8" w:rsidRDefault="004622A0" w:rsidP="00D34AAD">
            <w:pPr>
              <w:rPr>
                <w:rFonts w:cs="Arial"/>
                <w:szCs w:val="20"/>
              </w:rPr>
            </w:pPr>
            <w:proofErr w:type="spellStart"/>
            <w:r w:rsidRPr="00CC6EE8">
              <w:rPr>
                <w:rFonts w:cs="Arial"/>
                <w:szCs w:val="20"/>
              </w:rPr>
              <w:t>plv</w:t>
            </w:r>
            <w:proofErr w:type="spellEnd"/>
            <w:r w:rsidRPr="00CC6EE8">
              <w:rPr>
                <w:rFonts w:cs="Arial"/>
                <w:szCs w:val="20"/>
              </w:rPr>
              <w:t xml:space="preserve"> </w:t>
            </w:r>
            <w:proofErr w:type="spellStart"/>
            <w:r w:rsidRPr="00CC6EE8">
              <w:rPr>
                <w:rFonts w:cs="Arial"/>
                <w:szCs w:val="20"/>
              </w:rPr>
              <w:t>ino</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EC0A30" w14:textId="77777777" w:rsidR="004622A0" w:rsidRPr="00CC6EE8" w:rsidRDefault="004622A0" w:rsidP="00D34AAD">
            <w:pPr>
              <w:rPr>
                <w:rFonts w:cs="Arial"/>
                <w:szCs w:val="20"/>
              </w:rPr>
            </w:pPr>
            <w:r w:rsidRPr="00CC6EE8">
              <w:rPr>
                <w:rFonts w:cs="Arial"/>
                <w:szCs w:val="20"/>
              </w:rPr>
              <w:t>1x500 IU</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04FB033" w14:textId="77777777" w:rsidR="004622A0" w:rsidRPr="00CC6EE8" w:rsidRDefault="004622A0" w:rsidP="00D34AAD">
            <w:pPr>
              <w:jc w:val="right"/>
              <w:rPr>
                <w:rFonts w:cs="Arial"/>
                <w:szCs w:val="20"/>
              </w:rPr>
            </w:pPr>
            <w:r>
              <w:rPr>
                <w:rFonts w:cs="Arial"/>
                <w:szCs w:val="20"/>
              </w:rPr>
              <w:t>50</w:t>
            </w:r>
          </w:p>
        </w:tc>
      </w:tr>
      <w:tr w:rsidR="004622A0" w:rsidRPr="00CC6EE8" w14:paraId="58B75418"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4265A"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D404DE5"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6F92622"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F3894F6" w14:textId="77777777" w:rsidR="004622A0" w:rsidRPr="00CC6EE8" w:rsidRDefault="004622A0" w:rsidP="00D34AAD">
            <w:pPr>
              <w:rPr>
                <w:rFonts w:cs="Arial"/>
                <w:szCs w:val="20"/>
              </w:rPr>
            </w:pPr>
          </w:p>
        </w:tc>
      </w:tr>
      <w:tr w:rsidR="004622A0" w:rsidRPr="00CC6EE8" w14:paraId="503583E9"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1F570" w14:textId="77777777" w:rsidR="004622A0" w:rsidRPr="00CC6EE8" w:rsidRDefault="004622A0" w:rsidP="00D34AAD">
            <w:pPr>
              <w:rPr>
                <w:rFonts w:cs="Arial"/>
                <w:b/>
                <w:bCs/>
                <w:szCs w:val="20"/>
              </w:rPr>
            </w:pPr>
            <w:r w:rsidRPr="00CC6EE8">
              <w:rPr>
                <w:rFonts w:cs="Arial"/>
                <w:b/>
                <w:bCs/>
                <w:szCs w:val="20"/>
              </w:rPr>
              <w:t>3.časť</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DD17F90"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91781CB"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55DB115A" w14:textId="77777777" w:rsidR="004622A0" w:rsidRPr="00CC6EE8" w:rsidRDefault="004622A0" w:rsidP="00D34AAD">
            <w:pPr>
              <w:rPr>
                <w:rFonts w:cs="Arial"/>
                <w:szCs w:val="20"/>
              </w:rPr>
            </w:pPr>
          </w:p>
        </w:tc>
      </w:tr>
      <w:tr w:rsidR="004622A0" w:rsidRPr="00CC6EE8" w14:paraId="059CA55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4FCC" w14:textId="77777777" w:rsidR="004622A0" w:rsidRPr="00CC6EE8" w:rsidRDefault="004622A0" w:rsidP="00D34AAD">
            <w:pPr>
              <w:rPr>
                <w:rFonts w:cs="Arial"/>
                <w:szCs w:val="20"/>
              </w:rPr>
            </w:pPr>
            <w:proofErr w:type="spellStart"/>
            <w:r w:rsidRPr="00CC6EE8">
              <w:rPr>
                <w:rFonts w:cs="Arial"/>
                <w:szCs w:val="20"/>
              </w:rPr>
              <w:t>Baklofén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98C09E5"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64664B" w14:textId="77777777" w:rsidR="004622A0" w:rsidRPr="00CC6EE8" w:rsidRDefault="004622A0" w:rsidP="00D34AAD">
            <w:pPr>
              <w:rPr>
                <w:rFonts w:cs="Arial"/>
                <w:szCs w:val="20"/>
              </w:rPr>
            </w:pPr>
            <w:r w:rsidRPr="00CC6EE8">
              <w:rPr>
                <w:rFonts w:cs="Arial"/>
                <w:szCs w:val="20"/>
              </w:rPr>
              <w:t>1x10mg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52B50564" w14:textId="77777777" w:rsidR="004622A0" w:rsidRPr="00CC6EE8" w:rsidRDefault="004622A0" w:rsidP="00D34AAD">
            <w:pPr>
              <w:jc w:val="right"/>
              <w:rPr>
                <w:rFonts w:cs="Arial"/>
                <w:szCs w:val="20"/>
              </w:rPr>
            </w:pPr>
            <w:r>
              <w:rPr>
                <w:rFonts w:cs="Arial"/>
                <w:szCs w:val="20"/>
              </w:rPr>
              <w:t>500</w:t>
            </w:r>
          </w:p>
        </w:tc>
      </w:tr>
      <w:tr w:rsidR="004622A0" w:rsidRPr="00CC6EE8" w14:paraId="5ACA060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0F165" w14:textId="77777777" w:rsidR="004622A0" w:rsidRPr="00CC6EE8" w:rsidRDefault="004622A0" w:rsidP="00D34AAD">
            <w:pPr>
              <w:rPr>
                <w:rFonts w:cs="Arial"/>
                <w:szCs w:val="20"/>
              </w:rPr>
            </w:pPr>
            <w:proofErr w:type="spellStart"/>
            <w:r w:rsidRPr="00CC6EE8">
              <w:rPr>
                <w:rFonts w:cs="Arial"/>
                <w:szCs w:val="20"/>
              </w:rPr>
              <w:t>Baklofén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1EB99F43" w14:textId="77777777" w:rsidR="004622A0" w:rsidRPr="00CC6EE8" w:rsidRDefault="004622A0" w:rsidP="00D34AAD">
            <w:pPr>
              <w:rPr>
                <w:rFonts w:cs="Arial"/>
                <w:szCs w:val="20"/>
              </w:rPr>
            </w:pPr>
            <w:proofErr w:type="spellStart"/>
            <w:r w:rsidRPr="00CC6EE8">
              <w:rPr>
                <w:rFonts w:cs="Arial"/>
                <w:szCs w:val="20"/>
              </w:rPr>
              <w:t>tbl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21F9293" w14:textId="77777777" w:rsidR="004622A0" w:rsidRPr="00CC6EE8" w:rsidRDefault="004622A0" w:rsidP="00D34AAD">
            <w:pPr>
              <w:rPr>
                <w:rFonts w:cs="Arial"/>
                <w:szCs w:val="20"/>
              </w:rPr>
            </w:pPr>
            <w:r w:rsidRPr="00CC6EE8">
              <w:rPr>
                <w:rFonts w:cs="Arial"/>
                <w:szCs w:val="20"/>
              </w:rPr>
              <w:t>1x25mg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046E4F3" w14:textId="77777777" w:rsidR="004622A0" w:rsidRPr="00CC6EE8" w:rsidRDefault="004622A0" w:rsidP="00D34AAD">
            <w:pPr>
              <w:jc w:val="right"/>
              <w:rPr>
                <w:rFonts w:cs="Arial"/>
                <w:szCs w:val="20"/>
              </w:rPr>
            </w:pPr>
            <w:r>
              <w:rPr>
                <w:rFonts w:cs="Arial"/>
                <w:szCs w:val="20"/>
              </w:rPr>
              <w:t>250</w:t>
            </w:r>
          </w:p>
        </w:tc>
      </w:tr>
      <w:tr w:rsidR="004622A0" w:rsidRPr="00CC6EE8" w14:paraId="2E495454"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747BE" w14:textId="77777777" w:rsidR="004622A0" w:rsidRPr="00CC6EE8" w:rsidRDefault="004622A0" w:rsidP="00D34AAD">
            <w:pPr>
              <w:rPr>
                <w:rFonts w:cs="Arial"/>
                <w:szCs w:val="20"/>
              </w:rPr>
            </w:pPr>
            <w:proofErr w:type="spellStart"/>
            <w:r w:rsidRPr="00CC6EE8">
              <w:rPr>
                <w:rFonts w:cs="Arial"/>
                <w:szCs w:val="20"/>
              </w:rPr>
              <w:t>Suxametónium</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1667F2C8" w14:textId="77777777" w:rsidR="004622A0" w:rsidRPr="00CC6EE8" w:rsidRDefault="004622A0" w:rsidP="00D34AAD">
            <w:pPr>
              <w:rPr>
                <w:rFonts w:cs="Arial"/>
                <w:szCs w:val="20"/>
              </w:rPr>
            </w:pPr>
            <w:proofErr w:type="spellStart"/>
            <w:r w:rsidRPr="00CC6EE8">
              <w:rPr>
                <w:rFonts w:cs="Arial"/>
                <w:szCs w:val="20"/>
              </w:rPr>
              <w:t>plv</w:t>
            </w:r>
            <w:proofErr w:type="spellEnd"/>
            <w:r w:rsidRPr="00CC6EE8">
              <w:rPr>
                <w:rFonts w:cs="Arial"/>
                <w:szCs w:val="20"/>
              </w:rPr>
              <w:t xml:space="preserve"> </w:t>
            </w:r>
            <w:proofErr w:type="spellStart"/>
            <w:r w:rsidRPr="00CC6EE8">
              <w:rPr>
                <w:rFonts w:cs="Arial"/>
                <w:szCs w:val="20"/>
              </w:rPr>
              <w:t>ino</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D9A352" w14:textId="77777777" w:rsidR="004622A0" w:rsidRPr="00CC6EE8" w:rsidRDefault="004622A0" w:rsidP="00D34AAD">
            <w:pPr>
              <w:rPr>
                <w:rFonts w:cs="Arial"/>
                <w:szCs w:val="20"/>
              </w:rPr>
            </w:pPr>
            <w:r w:rsidRPr="00CC6EE8">
              <w:rPr>
                <w:rFonts w:cs="Arial"/>
                <w:szCs w:val="20"/>
              </w:rPr>
              <w:t>1x100mg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45B5143" w14:textId="77777777" w:rsidR="004622A0" w:rsidRPr="00CC6EE8" w:rsidRDefault="004622A0" w:rsidP="00D34AAD">
            <w:pPr>
              <w:jc w:val="right"/>
              <w:rPr>
                <w:rFonts w:cs="Arial"/>
                <w:szCs w:val="20"/>
              </w:rPr>
            </w:pPr>
            <w:r>
              <w:rPr>
                <w:rFonts w:cs="Arial"/>
                <w:szCs w:val="20"/>
              </w:rPr>
              <w:t>2500</w:t>
            </w:r>
          </w:p>
        </w:tc>
      </w:tr>
      <w:tr w:rsidR="004622A0" w:rsidRPr="00CC6EE8" w14:paraId="4AE4DEA9"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DDF3" w14:textId="77777777" w:rsidR="004622A0" w:rsidRPr="00CC6EE8" w:rsidRDefault="004622A0" w:rsidP="00D34AAD">
            <w:pPr>
              <w:rPr>
                <w:rFonts w:cs="Arial"/>
                <w:szCs w:val="20"/>
              </w:rPr>
            </w:pPr>
            <w:proofErr w:type="spellStart"/>
            <w:r w:rsidRPr="00CC6EE8">
              <w:rPr>
                <w:rFonts w:cs="Arial"/>
                <w:szCs w:val="20"/>
              </w:rPr>
              <w:t>Atrakurium</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D339F66" w14:textId="77777777" w:rsidR="004622A0" w:rsidRPr="00CC6EE8" w:rsidRDefault="004622A0" w:rsidP="00D34AAD">
            <w:pPr>
              <w:rPr>
                <w:rFonts w:cs="Arial"/>
                <w:szCs w:val="20"/>
              </w:rPr>
            </w:pPr>
            <w:proofErr w:type="spellStart"/>
            <w:r w:rsidRPr="00CC6EE8">
              <w:rPr>
                <w:rFonts w:cs="Arial"/>
                <w:szCs w:val="20"/>
              </w:rPr>
              <w:t>sol</w:t>
            </w:r>
            <w:proofErr w:type="spellEnd"/>
            <w:r w:rsidRPr="00CC6EE8">
              <w:rPr>
                <w:rFonts w:cs="Arial"/>
                <w:szCs w:val="20"/>
              </w:rPr>
              <w:t xml:space="preserve"> </w:t>
            </w:r>
            <w:proofErr w:type="spellStart"/>
            <w:r w:rsidRPr="00CC6EE8">
              <w:rPr>
                <w:rFonts w:cs="Arial"/>
                <w:szCs w:val="20"/>
              </w:rPr>
              <w:t>inj</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076EA04" w14:textId="77777777" w:rsidR="004622A0" w:rsidRPr="00CC6EE8" w:rsidRDefault="004622A0" w:rsidP="00D34AAD">
            <w:pPr>
              <w:rPr>
                <w:rFonts w:cs="Arial"/>
                <w:szCs w:val="20"/>
              </w:rPr>
            </w:pPr>
            <w:r w:rsidRPr="00CC6EE8">
              <w:rPr>
                <w:rFonts w:cs="Arial"/>
                <w:szCs w:val="20"/>
              </w:rPr>
              <w:t>1x2,5ml/25mg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0CFC6CC1" w14:textId="77777777" w:rsidR="004622A0" w:rsidRPr="00CC6EE8" w:rsidRDefault="004622A0" w:rsidP="00D34AAD">
            <w:pPr>
              <w:jc w:val="right"/>
              <w:rPr>
                <w:rFonts w:cs="Arial"/>
                <w:szCs w:val="20"/>
              </w:rPr>
            </w:pPr>
            <w:r>
              <w:rPr>
                <w:rFonts w:cs="Arial"/>
                <w:szCs w:val="20"/>
              </w:rPr>
              <w:t>100</w:t>
            </w:r>
          </w:p>
        </w:tc>
      </w:tr>
      <w:tr w:rsidR="004622A0" w:rsidRPr="00CC6EE8" w14:paraId="7480DAF5"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DC3A" w14:textId="77777777" w:rsidR="004622A0" w:rsidRPr="00CC6EE8" w:rsidRDefault="004622A0" w:rsidP="00D34AAD">
            <w:pPr>
              <w:rPr>
                <w:rFonts w:cs="Arial"/>
                <w:szCs w:val="20"/>
              </w:rPr>
            </w:pPr>
            <w:proofErr w:type="spellStart"/>
            <w:r w:rsidRPr="00CC6EE8">
              <w:rPr>
                <w:rFonts w:cs="Arial"/>
                <w:szCs w:val="20"/>
              </w:rPr>
              <w:lastRenderedPageBreak/>
              <w:t>Atrakurium</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B9366F4" w14:textId="77777777" w:rsidR="004622A0" w:rsidRPr="00CC6EE8" w:rsidRDefault="004622A0" w:rsidP="00D34AAD">
            <w:pPr>
              <w:rPr>
                <w:rFonts w:cs="Arial"/>
                <w:szCs w:val="20"/>
              </w:rPr>
            </w:pPr>
            <w:proofErr w:type="spellStart"/>
            <w:r w:rsidRPr="00CC6EE8">
              <w:rPr>
                <w:rFonts w:cs="Arial"/>
                <w:szCs w:val="20"/>
              </w:rPr>
              <w:t>sol</w:t>
            </w:r>
            <w:proofErr w:type="spellEnd"/>
            <w:r w:rsidRPr="00CC6EE8">
              <w:rPr>
                <w:rFonts w:cs="Arial"/>
                <w:szCs w:val="20"/>
              </w:rPr>
              <w:t xml:space="preserve"> </w:t>
            </w:r>
            <w:proofErr w:type="spellStart"/>
            <w:r w:rsidRPr="00CC6EE8">
              <w:rPr>
                <w:rFonts w:cs="Arial"/>
                <w:szCs w:val="20"/>
              </w:rPr>
              <w:t>inj</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0E155DD" w14:textId="77777777" w:rsidR="004622A0" w:rsidRPr="00CC6EE8" w:rsidRDefault="004622A0" w:rsidP="00D34AAD">
            <w:pPr>
              <w:rPr>
                <w:rFonts w:cs="Arial"/>
                <w:szCs w:val="20"/>
              </w:rPr>
            </w:pPr>
            <w:r w:rsidRPr="00CC6EE8">
              <w:rPr>
                <w:rFonts w:cs="Arial"/>
                <w:szCs w:val="20"/>
              </w:rPr>
              <w:t>1x5ml/50mg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FA7D41A" w14:textId="77777777" w:rsidR="004622A0" w:rsidRPr="00CC6EE8" w:rsidRDefault="004622A0" w:rsidP="00D34AAD">
            <w:pPr>
              <w:jc w:val="right"/>
              <w:rPr>
                <w:rFonts w:cs="Arial"/>
                <w:szCs w:val="20"/>
              </w:rPr>
            </w:pPr>
            <w:r>
              <w:rPr>
                <w:rFonts w:cs="Arial"/>
                <w:szCs w:val="20"/>
              </w:rPr>
              <w:t>10</w:t>
            </w:r>
            <w:r w:rsidRPr="00CC6EE8">
              <w:rPr>
                <w:rFonts w:cs="Arial"/>
                <w:szCs w:val="20"/>
              </w:rPr>
              <w:t>0</w:t>
            </w:r>
          </w:p>
        </w:tc>
      </w:tr>
      <w:tr w:rsidR="004622A0" w:rsidRPr="00CC6EE8" w14:paraId="716B926D"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F054"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1E7C7BCB"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8A5D3D8"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CBCC8AD" w14:textId="77777777" w:rsidR="004622A0" w:rsidRPr="00CC6EE8" w:rsidRDefault="004622A0" w:rsidP="00D34AAD">
            <w:pPr>
              <w:rPr>
                <w:rFonts w:cs="Arial"/>
                <w:szCs w:val="20"/>
              </w:rPr>
            </w:pPr>
          </w:p>
        </w:tc>
      </w:tr>
      <w:tr w:rsidR="004622A0" w:rsidRPr="00CC6EE8" w14:paraId="1891A885"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49EC" w14:textId="77777777" w:rsidR="004622A0" w:rsidRPr="00CC6EE8" w:rsidRDefault="004622A0" w:rsidP="00D34AAD">
            <w:pPr>
              <w:rPr>
                <w:rFonts w:cs="Arial"/>
                <w:b/>
                <w:bCs/>
                <w:szCs w:val="20"/>
              </w:rPr>
            </w:pPr>
            <w:r w:rsidRPr="00CC6EE8">
              <w:rPr>
                <w:rFonts w:cs="Arial"/>
                <w:b/>
                <w:bCs/>
                <w:szCs w:val="20"/>
              </w:rPr>
              <w:t>4.časť</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269B2FC"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0435A1"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88A3149" w14:textId="77777777" w:rsidR="004622A0" w:rsidRPr="00CC6EE8" w:rsidRDefault="004622A0" w:rsidP="00D34AAD">
            <w:pPr>
              <w:rPr>
                <w:rFonts w:cs="Arial"/>
                <w:szCs w:val="20"/>
              </w:rPr>
            </w:pPr>
          </w:p>
        </w:tc>
      </w:tr>
      <w:tr w:rsidR="004622A0" w:rsidRPr="00CC6EE8" w14:paraId="07515EA0"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AB87B" w14:textId="77777777" w:rsidR="004622A0" w:rsidRPr="00CC6EE8" w:rsidRDefault="004622A0" w:rsidP="00D34AAD">
            <w:pPr>
              <w:rPr>
                <w:rFonts w:cs="Arial"/>
                <w:szCs w:val="20"/>
              </w:rPr>
            </w:pPr>
            <w:proofErr w:type="spellStart"/>
            <w:r w:rsidRPr="00CC6EE8">
              <w:rPr>
                <w:rFonts w:cs="Arial"/>
                <w:szCs w:val="20"/>
              </w:rPr>
              <w:t>Denosumab</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7B840911" w14:textId="77777777" w:rsidR="004622A0" w:rsidRPr="00CC6EE8" w:rsidRDefault="004622A0" w:rsidP="00D34AAD">
            <w:pPr>
              <w:rPr>
                <w:rFonts w:cs="Arial"/>
                <w:szCs w:val="20"/>
              </w:rPr>
            </w:pPr>
            <w:proofErr w:type="spellStart"/>
            <w:r w:rsidRPr="00CC6EE8">
              <w:rPr>
                <w:rFonts w:cs="Arial"/>
                <w:szCs w:val="20"/>
              </w:rPr>
              <w:t>sol</w:t>
            </w:r>
            <w:proofErr w:type="spellEnd"/>
            <w:r w:rsidRPr="00CC6EE8">
              <w:rPr>
                <w:rFonts w:cs="Arial"/>
                <w:szCs w:val="20"/>
              </w:rPr>
              <w:t xml:space="preserve"> </w:t>
            </w:r>
            <w:proofErr w:type="spellStart"/>
            <w:r w:rsidRPr="00CC6EE8">
              <w:rPr>
                <w:rFonts w:cs="Arial"/>
                <w:szCs w:val="20"/>
              </w:rPr>
              <w:t>inj</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5CCED5" w14:textId="77777777" w:rsidR="004622A0" w:rsidRPr="00CC6EE8" w:rsidRDefault="004622A0" w:rsidP="00D34AAD">
            <w:pPr>
              <w:rPr>
                <w:rFonts w:cs="Arial"/>
                <w:szCs w:val="20"/>
              </w:rPr>
            </w:pPr>
            <w:r w:rsidRPr="00CC6EE8">
              <w:rPr>
                <w:rFonts w:cs="Arial"/>
                <w:szCs w:val="20"/>
              </w:rPr>
              <w:t>1x1,7ml/120 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A778C61" w14:textId="77777777" w:rsidR="004622A0" w:rsidRPr="00CC6EE8" w:rsidRDefault="004622A0" w:rsidP="00D34AAD">
            <w:pPr>
              <w:jc w:val="right"/>
              <w:rPr>
                <w:rFonts w:cs="Arial"/>
                <w:szCs w:val="20"/>
              </w:rPr>
            </w:pPr>
            <w:r>
              <w:rPr>
                <w:rFonts w:cs="Arial"/>
                <w:szCs w:val="20"/>
              </w:rPr>
              <w:t>1200</w:t>
            </w:r>
          </w:p>
        </w:tc>
      </w:tr>
      <w:tr w:rsidR="004622A0" w:rsidRPr="00CC6EE8" w14:paraId="51AA1222"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7DD7D"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DE8FB8B"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06FC5B"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D0C085F" w14:textId="77777777" w:rsidR="004622A0" w:rsidRPr="00CC6EE8" w:rsidRDefault="004622A0" w:rsidP="00D34AAD">
            <w:pPr>
              <w:rPr>
                <w:rFonts w:cs="Arial"/>
                <w:szCs w:val="20"/>
              </w:rPr>
            </w:pPr>
          </w:p>
        </w:tc>
      </w:tr>
      <w:tr w:rsidR="004622A0" w:rsidRPr="00CC6EE8" w14:paraId="39C85CFF"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724E" w14:textId="77777777" w:rsidR="004622A0" w:rsidRPr="00CC6EE8" w:rsidRDefault="004622A0" w:rsidP="00D34AAD">
            <w:pPr>
              <w:rPr>
                <w:rFonts w:cs="Arial"/>
                <w:b/>
                <w:bCs/>
                <w:szCs w:val="20"/>
              </w:rPr>
            </w:pPr>
            <w:r w:rsidRPr="00CC6EE8">
              <w:rPr>
                <w:rFonts w:cs="Arial"/>
                <w:b/>
                <w:bCs/>
                <w:szCs w:val="20"/>
              </w:rPr>
              <w:t>5.časť</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4DBC68B"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5CA2C7"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2DD95CA" w14:textId="77777777" w:rsidR="004622A0" w:rsidRPr="00CC6EE8" w:rsidRDefault="004622A0" w:rsidP="00D34AAD">
            <w:pPr>
              <w:rPr>
                <w:rFonts w:cs="Arial"/>
                <w:szCs w:val="20"/>
              </w:rPr>
            </w:pPr>
          </w:p>
        </w:tc>
      </w:tr>
      <w:tr w:rsidR="004622A0" w:rsidRPr="00CC6EE8" w14:paraId="2AAF5917"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6ACB" w14:textId="77777777" w:rsidR="004622A0" w:rsidRPr="00CC6EE8" w:rsidRDefault="004622A0" w:rsidP="00D34AAD">
            <w:pPr>
              <w:rPr>
                <w:rFonts w:cs="Arial"/>
                <w:szCs w:val="20"/>
              </w:rPr>
            </w:pPr>
            <w:proofErr w:type="spellStart"/>
            <w:r w:rsidRPr="00CC6EE8">
              <w:rPr>
                <w:rFonts w:cs="Arial"/>
                <w:szCs w:val="20"/>
              </w:rPr>
              <w:t>Diklofenak</w:t>
            </w:r>
            <w:proofErr w:type="spellEnd"/>
            <w:r w:rsidRPr="00CC6EE8">
              <w:rPr>
                <w:rFonts w:cs="Arial"/>
                <w:szCs w:val="20"/>
              </w:rPr>
              <w:t>, kombinácie</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7CA1C482" w14:textId="77777777" w:rsidR="004622A0" w:rsidRPr="00CC6EE8" w:rsidRDefault="004622A0" w:rsidP="00D34AAD">
            <w:pPr>
              <w:rPr>
                <w:rFonts w:cs="Arial"/>
                <w:szCs w:val="20"/>
              </w:rPr>
            </w:pPr>
            <w:proofErr w:type="spellStart"/>
            <w:r w:rsidRPr="00CC6EE8">
              <w:rPr>
                <w:rFonts w:cs="Arial"/>
                <w:szCs w:val="20"/>
              </w:rPr>
              <w:t>sol</w:t>
            </w:r>
            <w:proofErr w:type="spellEnd"/>
            <w:r w:rsidRPr="00CC6EE8">
              <w:rPr>
                <w:rFonts w:cs="Arial"/>
                <w:szCs w:val="20"/>
              </w:rPr>
              <w:t xml:space="preserve"> </w:t>
            </w:r>
            <w:proofErr w:type="spellStart"/>
            <w:r w:rsidRPr="00CC6EE8">
              <w:rPr>
                <w:rFonts w:cs="Arial"/>
                <w:szCs w:val="20"/>
              </w:rPr>
              <w:t>inf</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FCBC77" w14:textId="77777777" w:rsidR="004622A0" w:rsidRPr="00CC6EE8" w:rsidRDefault="004622A0" w:rsidP="00D34AAD">
            <w:pPr>
              <w:rPr>
                <w:rFonts w:cs="Arial"/>
                <w:szCs w:val="20"/>
              </w:rPr>
            </w:pPr>
            <w:r w:rsidRPr="00CC6EE8">
              <w:rPr>
                <w:rFonts w:cs="Arial"/>
                <w:szCs w:val="20"/>
              </w:rPr>
              <w:t>1x250ml</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ED70A34" w14:textId="77777777" w:rsidR="004622A0" w:rsidRPr="00CC6EE8" w:rsidRDefault="004622A0" w:rsidP="00D34AAD">
            <w:pPr>
              <w:jc w:val="right"/>
              <w:rPr>
                <w:rFonts w:cs="Arial"/>
                <w:szCs w:val="20"/>
              </w:rPr>
            </w:pPr>
            <w:r>
              <w:rPr>
                <w:rFonts w:cs="Arial"/>
                <w:szCs w:val="20"/>
              </w:rPr>
              <w:t>2500</w:t>
            </w:r>
          </w:p>
        </w:tc>
      </w:tr>
      <w:tr w:rsidR="004622A0" w:rsidRPr="00CC6EE8" w14:paraId="7189CC33"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85EC"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6937BE9"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0576EE"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3B067C6" w14:textId="77777777" w:rsidR="004622A0" w:rsidRPr="00CC6EE8" w:rsidRDefault="004622A0" w:rsidP="00D34AAD">
            <w:pPr>
              <w:rPr>
                <w:rFonts w:cs="Arial"/>
                <w:szCs w:val="20"/>
              </w:rPr>
            </w:pPr>
          </w:p>
        </w:tc>
      </w:tr>
      <w:tr w:rsidR="004622A0" w:rsidRPr="00CC6EE8" w14:paraId="756F9D71"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C659"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17A52E0F"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6E4B43D"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EE36A3D" w14:textId="77777777" w:rsidR="004622A0" w:rsidRPr="00CC6EE8" w:rsidRDefault="004622A0" w:rsidP="00D34AAD">
            <w:pPr>
              <w:rPr>
                <w:rFonts w:cs="Arial"/>
                <w:szCs w:val="20"/>
              </w:rPr>
            </w:pPr>
          </w:p>
        </w:tc>
      </w:tr>
      <w:tr w:rsidR="004622A0" w:rsidRPr="00CC6EE8" w14:paraId="1FDE7B71"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FED9" w14:textId="77777777" w:rsidR="004622A0" w:rsidRPr="00CC6EE8" w:rsidRDefault="004622A0" w:rsidP="00D34AAD">
            <w:pPr>
              <w:rPr>
                <w:rFonts w:cs="Arial"/>
                <w:b/>
                <w:bCs/>
                <w:szCs w:val="20"/>
              </w:rPr>
            </w:pPr>
            <w:r w:rsidRPr="00CC6EE8">
              <w:rPr>
                <w:rFonts w:cs="Arial"/>
                <w:b/>
                <w:bCs/>
                <w:szCs w:val="20"/>
              </w:rPr>
              <w:t>6.časť</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25F89BFB"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84BB28"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80CD89A" w14:textId="77777777" w:rsidR="004622A0" w:rsidRPr="00CC6EE8" w:rsidRDefault="004622A0" w:rsidP="00D34AAD">
            <w:pPr>
              <w:rPr>
                <w:rFonts w:cs="Arial"/>
                <w:szCs w:val="20"/>
              </w:rPr>
            </w:pPr>
          </w:p>
        </w:tc>
      </w:tr>
      <w:tr w:rsidR="004622A0" w:rsidRPr="00CC6EE8" w14:paraId="240F540D"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25C51" w14:textId="77777777" w:rsidR="004622A0" w:rsidRPr="00CC6EE8" w:rsidRDefault="004622A0" w:rsidP="00D34AAD">
            <w:pPr>
              <w:rPr>
                <w:rFonts w:cs="Arial"/>
                <w:szCs w:val="20"/>
              </w:rPr>
            </w:pPr>
            <w:proofErr w:type="spellStart"/>
            <w:r w:rsidRPr="00CC6EE8">
              <w:rPr>
                <w:rFonts w:cs="Arial"/>
                <w:szCs w:val="20"/>
              </w:rPr>
              <w:t>Rokuróniumbromid</w:t>
            </w:r>
            <w:proofErr w:type="spellEnd"/>
            <w:r w:rsidRPr="00CC6EE8">
              <w:rPr>
                <w:rFonts w:cs="Arial"/>
                <w:szCs w:val="20"/>
              </w:rPr>
              <w:t xml:space="preserve">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680C6717" w14:textId="77777777" w:rsidR="004622A0" w:rsidRPr="00CC6EE8" w:rsidRDefault="004622A0" w:rsidP="00D34AAD">
            <w:pPr>
              <w:rPr>
                <w:rFonts w:cs="Arial"/>
                <w:szCs w:val="20"/>
              </w:rPr>
            </w:pPr>
            <w:proofErr w:type="spellStart"/>
            <w:r w:rsidRPr="00CC6EE8">
              <w:rPr>
                <w:rFonts w:cs="Arial"/>
                <w:szCs w:val="20"/>
              </w:rPr>
              <w:t>sol</w:t>
            </w:r>
            <w:proofErr w:type="spellEnd"/>
            <w:r w:rsidRPr="00CC6EE8">
              <w:rPr>
                <w:rFonts w:cs="Arial"/>
                <w:szCs w:val="20"/>
              </w:rPr>
              <w:t xml:space="preserve"> </w:t>
            </w:r>
            <w:proofErr w:type="spellStart"/>
            <w:r w:rsidRPr="00CC6EE8">
              <w:rPr>
                <w:rFonts w:cs="Arial"/>
                <w:szCs w:val="20"/>
              </w:rPr>
              <w:t>ijf</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DBCB20" w14:textId="77777777" w:rsidR="004622A0" w:rsidRPr="00CC6EE8" w:rsidRDefault="004622A0" w:rsidP="00D34AAD">
            <w:pPr>
              <w:rPr>
                <w:rFonts w:cs="Arial"/>
                <w:szCs w:val="20"/>
              </w:rPr>
            </w:pPr>
            <w:r w:rsidRPr="00CC6EE8">
              <w:rPr>
                <w:rFonts w:cs="Arial"/>
                <w:szCs w:val="20"/>
              </w:rPr>
              <w:t>1x50mg/5ml</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10C6870" w14:textId="77777777" w:rsidR="004622A0" w:rsidRPr="00CC6EE8" w:rsidRDefault="004622A0" w:rsidP="00D34AAD">
            <w:pPr>
              <w:jc w:val="right"/>
              <w:rPr>
                <w:rFonts w:cs="Arial"/>
                <w:szCs w:val="20"/>
              </w:rPr>
            </w:pPr>
            <w:r>
              <w:rPr>
                <w:rFonts w:cs="Arial"/>
                <w:szCs w:val="20"/>
              </w:rPr>
              <w:t>8</w:t>
            </w:r>
            <w:r w:rsidRPr="00CC6EE8">
              <w:rPr>
                <w:rFonts w:cs="Arial"/>
                <w:szCs w:val="20"/>
              </w:rPr>
              <w:t>000</w:t>
            </w:r>
          </w:p>
        </w:tc>
      </w:tr>
      <w:tr w:rsidR="004622A0" w:rsidRPr="00CC6EE8" w14:paraId="571199D0"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3582" w14:textId="77777777" w:rsidR="004622A0" w:rsidRPr="00CC6EE8" w:rsidRDefault="004622A0" w:rsidP="00D34AAD">
            <w:pPr>
              <w:rPr>
                <w:rFonts w:cs="Arial"/>
                <w:szCs w:val="20"/>
              </w:rPr>
            </w:pPr>
            <w:r w:rsidRPr="00CC6EE8">
              <w:rPr>
                <w:rFonts w:cs="Arial"/>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6AC9C4AB"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98ACB7B"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CAD1529" w14:textId="77777777" w:rsidR="004622A0" w:rsidRPr="00CC6EE8" w:rsidRDefault="004622A0" w:rsidP="00D34AAD">
            <w:pPr>
              <w:rPr>
                <w:rFonts w:cs="Arial"/>
                <w:szCs w:val="20"/>
              </w:rPr>
            </w:pPr>
          </w:p>
        </w:tc>
      </w:tr>
      <w:tr w:rsidR="004622A0" w:rsidRPr="00CC6EE8" w14:paraId="60344071"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AB2F" w14:textId="77777777" w:rsidR="004622A0" w:rsidRPr="00CC6EE8" w:rsidRDefault="004622A0" w:rsidP="00D34AAD">
            <w:pPr>
              <w:rPr>
                <w:rFonts w:cs="Arial"/>
                <w:b/>
                <w:bCs/>
                <w:szCs w:val="20"/>
              </w:rPr>
            </w:pPr>
            <w:r w:rsidRPr="00CC6EE8">
              <w:rPr>
                <w:rFonts w:cs="Arial"/>
                <w:b/>
                <w:bCs/>
                <w:szCs w:val="20"/>
              </w:rPr>
              <w:t>7.časť</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7221620" w14:textId="77777777" w:rsidR="004622A0" w:rsidRPr="00CC6EE8" w:rsidRDefault="004622A0" w:rsidP="00D34AAD">
            <w:pPr>
              <w:rPr>
                <w:rFonts w:cs="Arial"/>
                <w:szCs w:val="20"/>
              </w:rPr>
            </w:pPr>
            <w:r w:rsidRPr="00CC6EE8">
              <w:rPr>
                <w:rFonts w:cs="Arial"/>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B77A41" w14:textId="77777777" w:rsidR="004622A0" w:rsidRPr="00CC6EE8" w:rsidRDefault="004622A0" w:rsidP="00D34AAD">
            <w:pPr>
              <w:rPr>
                <w:rFonts w:cs="Arial"/>
                <w:szCs w:val="20"/>
              </w:rPr>
            </w:pPr>
            <w:r w:rsidRPr="00CC6EE8">
              <w:rPr>
                <w:rFonts w:cs="Arial"/>
                <w:szCs w:val="2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6D9E508" w14:textId="77777777" w:rsidR="004622A0" w:rsidRPr="00CC6EE8" w:rsidRDefault="004622A0" w:rsidP="00D34AAD">
            <w:pPr>
              <w:rPr>
                <w:rFonts w:cs="Arial"/>
                <w:szCs w:val="20"/>
              </w:rPr>
            </w:pPr>
          </w:p>
        </w:tc>
      </w:tr>
      <w:tr w:rsidR="004622A0" w:rsidRPr="00CC6EE8" w14:paraId="7044CB75" w14:textId="77777777" w:rsidTr="00D34AAD">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1567" w14:textId="77777777" w:rsidR="004622A0" w:rsidRPr="00CC6EE8" w:rsidRDefault="004622A0" w:rsidP="00D34AAD">
            <w:pPr>
              <w:rPr>
                <w:rFonts w:cs="Arial"/>
                <w:szCs w:val="20"/>
              </w:rPr>
            </w:pPr>
            <w:proofErr w:type="spellStart"/>
            <w:r w:rsidRPr="00CC6EE8">
              <w:rPr>
                <w:rFonts w:cs="Arial"/>
                <w:szCs w:val="20"/>
              </w:rPr>
              <w:t>Dantrolen</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ED6EEE7" w14:textId="77777777" w:rsidR="004622A0" w:rsidRPr="00CC6EE8" w:rsidRDefault="004622A0" w:rsidP="00D34AAD">
            <w:pPr>
              <w:rPr>
                <w:rFonts w:cs="Arial"/>
                <w:szCs w:val="20"/>
              </w:rPr>
            </w:pPr>
            <w:proofErr w:type="spellStart"/>
            <w:r w:rsidRPr="00CC6EE8">
              <w:rPr>
                <w:rFonts w:cs="Arial"/>
                <w:szCs w:val="20"/>
              </w:rPr>
              <w:t>lyo</w:t>
            </w:r>
            <w:proofErr w:type="spellEnd"/>
            <w:r w:rsidRPr="00CC6EE8">
              <w:rPr>
                <w:rFonts w:cs="Arial"/>
                <w:szCs w:val="20"/>
              </w:rPr>
              <w:t xml:space="preserve"> </w:t>
            </w:r>
            <w:proofErr w:type="spellStart"/>
            <w:r w:rsidRPr="00CC6EE8">
              <w:rPr>
                <w:rFonts w:cs="Arial"/>
                <w:szCs w:val="20"/>
              </w:rPr>
              <w:t>fol</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697EFA1" w14:textId="77777777" w:rsidR="004622A0" w:rsidRPr="00CC6EE8" w:rsidRDefault="004622A0" w:rsidP="00D34AAD">
            <w:pPr>
              <w:rPr>
                <w:rFonts w:cs="Arial"/>
                <w:szCs w:val="20"/>
              </w:rPr>
            </w:pPr>
            <w:r w:rsidRPr="00CC6EE8">
              <w:rPr>
                <w:rFonts w:cs="Arial"/>
                <w:szCs w:val="20"/>
              </w:rPr>
              <w:t>1x20mg</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DD0D9EB" w14:textId="77777777" w:rsidR="004622A0" w:rsidRPr="00CC6EE8" w:rsidRDefault="004622A0" w:rsidP="00D34AAD">
            <w:pPr>
              <w:jc w:val="right"/>
              <w:rPr>
                <w:rFonts w:cs="Arial"/>
                <w:szCs w:val="20"/>
              </w:rPr>
            </w:pPr>
            <w:r>
              <w:rPr>
                <w:rFonts w:cs="Arial"/>
                <w:szCs w:val="20"/>
              </w:rPr>
              <w:t>30</w:t>
            </w:r>
          </w:p>
        </w:tc>
      </w:tr>
    </w:tbl>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bookmarkStart w:id="33" w:name="_Hlk115845431"/>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bookmarkEnd w:id="33"/>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093181CE" w14:textId="25E521A2"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Príloha č.</w:t>
      </w:r>
      <w:r w:rsidR="000A073E">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6247FF31" w:rsidR="00AF13E5" w:rsidRDefault="00AF13E5" w:rsidP="006A6674">
      <w:pPr>
        <w:rPr>
          <w:rFonts w:ascii="Times New Roman" w:hAnsi="Times New Roman"/>
          <w:b/>
          <w:sz w:val="24"/>
          <w:u w:val="single"/>
        </w:rPr>
      </w:pPr>
    </w:p>
    <w:p w14:paraId="7F15F59B" w14:textId="087C305A" w:rsidR="000A073E" w:rsidRDefault="000A073E" w:rsidP="006A6674">
      <w:pPr>
        <w:rPr>
          <w:rFonts w:ascii="Times New Roman" w:hAnsi="Times New Roman"/>
          <w:b/>
          <w:sz w:val="24"/>
          <w:u w:val="single"/>
        </w:rPr>
      </w:pPr>
    </w:p>
    <w:p w14:paraId="1F5795AF" w14:textId="7E161BC2" w:rsidR="000A073E" w:rsidRDefault="000A073E" w:rsidP="006A6674">
      <w:pPr>
        <w:rPr>
          <w:rFonts w:ascii="Times New Roman" w:hAnsi="Times New Roman"/>
          <w:b/>
          <w:sz w:val="24"/>
          <w:u w:val="single"/>
        </w:rPr>
      </w:pPr>
    </w:p>
    <w:p w14:paraId="3133E2BB" w14:textId="2E8DE026" w:rsidR="000A073E" w:rsidRDefault="000A073E" w:rsidP="006A6674">
      <w:pPr>
        <w:rPr>
          <w:rFonts w:ascii="Times New Roman" w:hAnsi="Times New Roman"/>
          <w:b/>
          <w:sz w:val="24"/>
          <w:u w:val="single"/>
        </w:rPr>
      </w:pPr>
    </w:p>
    <w:p w14:paraId="13DCDED6" w14:textId="1B5D60BB" w:rsidR="000A073E" w:rsidRDefault="000A073E" w:rsidP="006A6674">
      <w:pPr>
        <w:rPr>
          <w:rFonts w:ascii="Times New Roman" w:hAnsi="Times New Roman"/>
          <w:b/>
          <w:sz w:val="24"/>
          <w:u w:val="single"/>
        </w:rPr>
      </w:pPr>
    </w:p>
    <w:p w14:paraId="6854A71E" w14:textId="129C2B27" w:rsidR="000A073E" w:rsidRDefault="000A073E" w:rsidP="006A6674">
      <w:pPr>
        <w:rPr>
          <w:rFonts w:ascii="Times New Roman" w:hAnsi="Times New Roman"/>
          <w:b/>
          <w:sz w:val="24"/>
          <w:u w:val="single"/>
        </w:rPr>
      </w:pPr>
    </w:p>
    <w:p w14:paraId="0C30374F" w14:textId="30C697C2" w:rsidR="000A073E" w:rsidRDefault="000A073E" w:rsidP="006A6674">
      <w:pPr>
        <w:rPr>
          <w:rFonts w:ascii="Times New Roman" w:hAnsi="Times New Roman"/>
          <w:b/>
          <w:sz w:val="24"/>
          <w:u w:val="single"/>
        </w:rPr>
      </w:pPr>
    </w:p>
    <w:p w14:paraId="4DB8C0F2" w14:textId="43CEEB17" w:rsidR="000A073E" w:rsidRDefault="000A073E" w:rsidP="006A6674">
      <w:pPr>
        <w:rPr>
          <w:rFonts w:ascii="Times New Roman" w:hAnsi="Times New Roman"/>
          <w:b/>
          <w:sz w:val="24"/>
          <w:u w:val="single"/>
        </w:rPr>
      </w:pPr>
    </w:p>
    <w:p w14:paraId="741DAFC3" w14:textId="31ECC6F3" w:rsidR="000A073E" w:rsidRDefault="000A073E" w:rsidP="006A6674">
      <w:pPr>
        <w:rPr>
          <w:rFonts w:ascii="Times New Roman" w:hAnsi="Times New Roman"/>
          <w:b/>
          <w:sz w:val="24"/>
          <w:u w:val="single"/>
        </w:rPr>
      </w:pPr>
    </w:p>
    <w:p w14:paraId="63991C89" w14:textId="03E89FD2" w:rsidR="000A073E" w:rsidRDefault="000A073E" w:rsidP="006A6674">
      <w:pPr>
        <w:rPr>
          <w:rFonts w:ascii="Times New Roman" w:hAnsi="Times New Roman"/>
          <w:b/>
          <w:sz w:val="24"/>
          <w:u w:val="single"/>
        </w:rPr>
      </w:pPr>
    </w:p>
    <w:p w14:paraId="0E47EBEC" w14:textId="78326BC9" w:rsidR="000A073E" w:rsidRDefault="000A073E" w:rsidP="006A6674">
      <w:pPr>
        <w:rPr>
          <w:rFonts w:ascii="Times New Roman" w:hAnsi="Times New Roman"/>
          <w:b/>
          <w:sz w:val="24"/>
          <w:u w:val="single"/>
        </w:rPr>
      </w:pPr>
    </w:p>
    <w:p w14:paraId="415E00EB" w14:textId="4E561DCC" w:rsidR="000A073E" w:rsidRDefault="000A073E" w:rsidP="006A6674">
      <w:pPr>
        <w:rPr>
          <w:rFonts w:ascii="Times New Roman" w:hAnsi="Times New Roman"/>
          <w:b/>
          <w:sz w:val="24"/>
          <w:u w:val="single"/>
        </w:rPr>
      </w:pPr>
    </w:p>
    <w:p w14:paraId="58C20090" w14:textId="259C6BE8" w:rsidR="000A073E" w:rsidRDefault="000A073E" w:rsidP="006A6674">
      <w:pPr>
        <w:rPr>
          <w:rFonts w:ascii="Times New Roman" w:hAnsi="Times New Roman"/>
          <w:b/>
          <w:sz w:val="24"/>
          <w:u w:val="single"/>
        </w:rPr>
      </w:pPr>
    </w:p>
    <w:p w14:paraId="7CE463B7" w14:textId="60D26BC6" w:rsidR="000A073E" w:rsidRDefault="000A073E" w:rsidP="006A6674">
      <w:pPr>
        <w:rPr>
          <w:rFonts w:ascii="Times New Roman" w:hAnsi="Times New Roman"/>
          <w:b/>
          <w:sz w:val="24"/>
          <w:u w:val="single"/>
        </w:rPr>
      </w:pPr>
    </w:p>
    <w:p w14:paraId="037D745C" w14:textId="7EE59056" w:rsidR="000A073E" w:rsidRDefault="000A073E" w:rsidP="006A6674">
      <w:pPr>
        <w:rPr>
          <w:rFonts w:ascii="Times New Roman" w:hAnsi="Times New Roman"/>
          <w:b/>
          <w:sz w:val="24"/>
          <w:u w:val="single"/>
        </w:rPr>
      </w:pPr>
    </w:p>
    <w:p w14:paraId="47DF25CF" w14:textId="56BA45B2" w:rsidR="000A073E" w:rsidRDefault="000A073E" w:rsidP="006A6674">
      <w:pPr>
        <w:rPr>
          <w:rFonts w:ascii="Times New Roman" w:hAnsi="Times New Roman"/>
          <w:b/>
          <w:sz w:val="24"/>
          <w:u w:val="single"/>
        </w:rPr>
      </w:pPr>
    </w:p>
    <w:p w14:paraId="4310B327" w14:textId="72B5B1D0" w:rsidR="000A073E" w:rsidRDefault="000A073E" w:rsidP="006A6674">
      <w:pPr>
        <w:rPr>
          <w:rFonts w:ascii="Times New Roman" w:hAnsi="Times New Roman"/>
          <w:b/>
          <w:sz w:val="24"/>
          <w:u w:val="single"/>
        </w:rPr>
      </w:pPr>
    </w:p>
    <w:p w14:paraId="3F735FD0" w14:textId="482F9417" w:rsidR="000A073E" w:rsidRDefault="000A073E" w:rsidP="006A6674">
      <w:pPr>
        <w:rPr>
          <w:rFonts w:ascii="Times New Roman" w:hAnsi="Times New Roman"/>
          <w:b/>
          <w:sz w:val="24"/>
          <w:u w:val="single"/>
        </w:rPr>
      </w:pPr>
    </w:p>
    <w:p w14:paraId="645114EA" w14:textId="159C37B1" w:rsidR="000A073E" w:rsidRDefault="000A073E" w:rsidP="006A6674">
      <w:pPr>
        <w:rPr>
          <w:rFonts w:ascii="Times New Roman" w:hAnsi="Times New Roman"/>
          <w:b/>
          <w:sz w:val="24"/>
          <w:u w:val="single"/>
        </w:rPr>
      </w:pPr>
    </w:p>
    <w:p w14:paraId="25113D3F" w14:textId="2167595A" w:rsidR="000A073E" w:rsidRDefault="000A073E" w:rsidP="006A6674">
      <w:pPr>
        <w:rPr>
          <w:rFonts w:ascii="Times New Roman" w:hAnsi="Times New Roman"/>
          <w:b/>
          <w:sz w:val="24"/>
          <w:u w:val="single"/>
        </w:rPr>
      </w:pPr>
    </w:p>
    <w:p w14:paraId="14DBA5C5" w14:textId="49732266" w:rsidR="000A073E" w:rsidRDefault="000A073E" w:rsidP="006A6674">
      <w:pPr>
        <w:rPr>
          <w:rFonts w:ascii="Times New Roman" w:hAnsi="Times New Roman"/>
          <w:b/>
          <w:sz w:val="24"/>
          <w:u w:val="single"/>
        </w:rPr>
      </w:pPr>
    </w:p>
    <w:p w14:paraId="60FB86DC" w14:textId="2C717DAA" w:rsidR="000A073E" w:rsidRDefault="000A073E" w:rsidP="006A6674">
      <w:pPr>
        <w:rPr>
          <w:rFonts w:ascii="Times New Roman" w:hAnsi="Times New Roman"/>
          <w:b/>
          <w:sz w:val="24"/>
          <w:u w:val="single"/>
        </w:rPr>
      </w:pPr>
    </w:p>
    <w:p w14:paraId="18EEB123" w14:textId="77777777" w:rsidR="000A073E" w:rsidRDefault="000A073E"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4622A0"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1292B288" w14:textId="77777777" w:rsidR="004622A0" w:rsidRPr="005945BC" w:rsidRDefault="004622A0" w:rsidP="00D5158F">
      <w:pPr>
        <w:numPr>
          <w:ilvl w:val="0"/>
          <w:numId w:val="54"/>
        </w:numPr>
        <w:ind w:left="720" w:hanging="360"/>
        <w:rPr>
          <w:rFonts w:ascii="Times New Roman" w:hAnsi="Times New Roman"/>
          <w:b/>
          <w:sz w:val="22"/>
        </w:rPr>
      </w:pPr>
    </w:p>
    <w:p w14:paraId="4495890F" w14:textId="1F95FCAD"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CF7C9B">
        <w:rPr>
          <w:rFonts w:ascii="Times New Roman" w:eastAsia="Arial" w:hAnsi="Times New Roman"/>
          <w:b/>
          <w:i/>
          <w:sz w:val="28"/>
        </w:rPr>
        <w:t xml:space="preserve"> Liečivá pre </w:t>
      </w:r>
      <w:proofErr w:type="spellStart"/>
      <w:r w:rsidR="00CF7C9B">
        <w:rPr>
          <w:rFonts w:ascii="Times New Roman" w:eastAsia="Arial" w:hAnsi="Times New Roman"/>
          <w:b/>
          <w:i/>
          <w:sz w:val="28"/>
        </w:rPr>
        <w:t>muskuloskeletálny</w:t>
      </w:r>
      <w:proofErr w:type="spellEnd"/>
      <w:r w:rsidR="00CF7C9B">
        <w:rPr>
          <w:rFonts w:ascii="Times New Roman" w:eastAsia="Arial" w:hAnsi="Times New Roman"/>
          <w:b/>
          <w:i/>
          <w:sz w:val="28"/>
        </w:rPr>
        <w:t xml:space="preserve"> systém</w:t>
      </w:r>
      <w:r w:rsidR="006D1772" w:rsidRPr="00597F09">
        <w:rPr>
          <w:rFonts w:ascii="Times New Roman" w:eastAsia="Arial" w:hAnsi="Times New Roman"/>
          <w:b/>
          <w:i/>
          <w:sz w:val="28"/>
        </w:rPr>
        <w:t>“</w:t>
      </w:r>
    </w:p>
    <w:p w14:paraId="580B377D" w14:textId="415C8A8E" w:rsidR="00600D16" w:rsidRDefault="00600D16" w:rsidP="00FC23B1">
      <w:pPr>
        <w:rPr>
          <w:rFonts w:ascii="Times New Roman" w:eastAsia="Arial" w:hAnsi="Times New Roman"/>
          <w:b/>
          <w:i/>
          <w:sz w:val="28"/>
        </w:rPr>
      </w:pPr>
    </w:p>
    <w:p w14:paraId="163C42C1" w14:textId="77777777" w:rsidR="00600D16" w:rsidRPr="00597F09" w:rsidRDefault="00600D16"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20D99F70" w:rsidR="00B07204" w:rsidRDefault="00B07204" w:rsidP="00B07204">
      <w:pPr>
        <w:rPr>
          <w:rFonts w:ascii="Times New Roman" w:hAnsi="Times New Roman"/>
          <w:sz w:val="24"/>
        </w:rPr>
      </w:pPr>
    </w:p>
    <w:p w14:paraId="57C63D70" w14:textId="77777777" w:rsidR="00600D16" w:rsidRDefault="00600D16"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39FC265"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CF7C9B">
        <w:rPr>
          <w:rFonts w:ascii="Times New Roman" w:eastAsia="Arial" w:hAnsi="Times New Roman"/>
          <w:b/>
          <w:i/>
          <w:sz w:val="28"/>
        </w:rPr>
        <w:t xml:space="preserve">Liečivá pre </w:t>
      </w:r>
      <w:proofErr w:type="spellStart"/>
      <w:r w:rsidR="00CF7C9B">
        <w:rPr>
          <w:rFonts w:ascii="Times New Roman" w:eastAsia="Arial" w:hAnsi="Times New Roman"/>
          <w:b/>
          <w:i/>
          <w:sz w:val="28"/>
        </w:rPr>
        <w:t>muskuloskeletálny</w:t>
      </w:r>
      <w:proofErr w:type="spellEnd"/>
      <w:r w:rsidR="00CF7C9B">
        <w:rPr>
          <w:rFonts w:ascii="Times New Roman" w:eastAsia="Arial" w:hAnsi="Times New Roman"/>
          <w:b/>
          <w:i/>
          <w:sz w:val="28"/>
        </w:rPr>
        <w:t xml:space="preserve"> systém</w:t>
      </w:r>
      <w:r w:rsidRPr="00597F09">
        <w:rPr>
          <w:rFonts w:ascii="Times New Roman" w:eastAsia="Arial" w:hAnsi="Times New Roman"/>
          <w:b/>
          <w:i/>
          <w:sz w:val="28"/>
        </w:rPr>
        <w:t>“</w:t>
      </w:r>
    </w:p>
    <w:p w14:paraId="2720A35E" w14:textId="77777777" w:rsidR="00600D16" w:rsidRDefault="00600D16" w:rsidP="00B07204">
      <w:pPr>
        <w:rPr>
          <w:rFonts w:ascii="Times New Roman" w:eastAsia="Arial" w:hAnsi="Times New Roman"/>
          <w:b/>
          <w:i/>
          <w:sz w:val="24"/>
        </w:rPr>
      </w:pPr>
    </w:p>
    <w:p w14:paraId="4E112021" w14:textId="6B2FE2E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1D3EFED0" w:rsidR="00177A00" w:rsidRDefault="00177A00" w:rsidP="00B07204">
      <w:pPr>
        <w:rPr>
          <w:rFonts w:eastAsia="Arial" w:cs="Arial"/>
          <w:b/>
          <w:i/>
          <w:sz w:val="28"/>
        </w:rPr>
      </w:pPr>
    </w:p>
    <w:p w14:paraId="14C23A52" w14:textId="77777777" w:rsidR="00E778D6" w:rsidRDefault="00E778D6"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1793" w14:textId="77777777" w:rsidR="00C30B59" w:rsidRDefault="00C30B59" w:rsidP="00241FD2">
      <w:r>
        <w:separator/>
      </w:r>
    </w:p>
  </w:endnote>
  <w:endnote w:type="continuationSeparator" w:id="0">
    <w:p w14:paraId="4CCC659C" w14:textId="77777777" w:rsidR="00C30B59" w:rsidRDefault="00C30B59" w:rsidP="00241FD2">
      <w:r>
        <w:continuationSeparator/>
      </w:r>
    </w:p>
  </w:endnote>
  <w:endnote w:type="continuationNotice" w:id="1">
    <w:p w14:paraId="65061CDD" w14:textId="77777777" w:rsidR="00C30B59" w:rsidRDefault="00C30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F1DB73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F7C9B">
      <w:rPr>
        <w:rFonts w:ascii="Times New Roman" w:eastAsia="Calibri" w:hAnsi="Times New Roman"/>
        <w:bCs/>
        <w:sz w:val="22"/>
      </w:rPr>
      <w:t xml:space="preserve">Liečivá pre </w:t>
    </w:r>
    <w:proofErr w:type="spellStart"/>
    <w:r w:rsidR="00CF7C9B">
      <w:rPr>
        <w:rFonts w:ascii="Times New Roman" w:eastAsia="Calibri" w:hAnsi="Times New Roman"/>
        <w:bCs/>
        <w:sz w:val="22"/>
      </w:rPr>
      <w:t>muskuloskeletálny</w:t>
    </w:r>
    <w:proofErr w:type="spellEnd"/>
    <w:r w:rsidR="00CF7C9B">
      <w:rPr>
        <w:rFonts w:ascii="Times New Roman" w:eastAsia="Calibri" w:hAnsi="Times New Roman"/>
        <w:bCs/>
        <w:sz w:val="22"/>
      </w:rPr>
      <w:t xml:space="preserve"> systém</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3DE15B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F7C9B">
      <w:rPr>
        <w:rFonts w:ascii="Times New Roman" w:eastAsia="Calibri" w:hAnsi="Times New Roman"/>
        <w:bCs/>
        <w:sz w:val="22"/>
      </w:rPr>
      <w:t xml:space="preserve">Liečivá pre </w:t>
    </w:r>
    <w:proofErr w:type="spellStart"/>
    <w:r w:rsidR="00CF7C9B">
      <w:rPr>
        <w:rFonts w:ascii="Times New Roman" w:eastAsia="Calibri" w:hAnsi="Times New Roman"/>
        <w:bCs/>
        <w:sz w:val="22"/>
      </w:rPr>
      <w:t>muskuloskeletálny</w:t>
    </w:r>
    <w:proofErr w:type="spellEnd"/>
    <w:r w:rsidR="00CF7C9B">
      <w:rPr>
        <w:rFonts w:ascii="Times New Roman" w:eastAsia="Calibri" w:hAnsi="Times New Roman"/>
        <w:bCs/>
        <w:sz w:val="22"/>
      </w:rPr>
      <w:t xml:space="preserve"> systém</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C35E" w14:textId="77777777" w:rsidR="00C30B59" w:rsidRDefault="00C30B59" w:rsidP="00241FD2">
      <w:r>
        <w:separator/>
      </w:r>
    </w:p>
  </w:footnote>
  <w:footnote w:type="continuationSeparator" w:id="0">
    <w:p w14:paraId="5D0626E2" w14:textId="77777777" w:rsidR="00C30B59" w:rsidRDefault="00C30B59" w:rsidP="00241FD2">
      <w:r>
        <w:continuationSeparator/>
      </w:r>
    </w:p>
  </w:footnote>
  <w:footnote w:type="continuationNotice" w:id="1">
    <w:p w14:paraId="57AB466E" w14:textId="77777777" w:rsidR="00C30B59" w:rsidRDefault="00C30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0"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89"/>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0"/>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1"/>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536498">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2DA2"/>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ED5"/>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73E"/>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580D"/>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86C"/>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436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558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AA1"/>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3F"/>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2A0"/>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57F"/>
    <w:rsid w:val="00480989"/>
    <w:rsid w:val="004836EA"/>
    <w:rsid w:val="00483DCF"/>
    <w:rsid w:val="00484413"/>
    <w:rsid w:val="00485F24"/>
    <w:rsid w:val="00486D08"/>
    <w:rsid w:val="00486DDE"/>
    <w:rsid w:val="0048704C"/>
    <w:rsid w:val="00487D1D"/>
    <w:rsid w:val="004901F0"/>
    <w:rsid w:val="00491056"/>
    <w:rsid w:val="00492C06"/>
    <w:rsid w:val="00494E0F"/>
    <w:rsid w:val="004A02E5"/>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272C"/>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0D16"/>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7C4"/>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1168"/>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435"/>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0F7F"/>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40E"/>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9F7CD6"/>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57E6D"/>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18A"/>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0B59"/>
    <w:rsid w:val="00C310D4"/>
    <w:rsid w:val="00C35578"/>
    <w:rsid w:val="00C356B6"/>
    <w:rsid w:val="00C35ABE"/>
    <w:rsid w:val="00C35B7D"/>
    <w:rsid w:val="00C410A2"/>
    <w:rsid w:val="00C44B49"/>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709"/>
    <w:rsid w:val="00CA2F31"/>
    <w:rsid w:val="00CA42C1"/>
    <w:rsid w:val="00CA46DF"/>
    <w:rsid w:val="00CA4C75"/>
    <w:rsid w:val="00CA581A"/>
    <w:rsid w:val="00CA7B31"/>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CF7C9B"/>
    <w:rsid w:val="00D00892"/>
    <w:rsid w:val="00D01913"/>
    <w:rsid w:val="00D02559"/>
    <w:rsid w:val="00D031B5"/>
    <w:rsid w:val="00D05F88"/>
    <w:rsid w:val="00D067A2"/>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176"/>
    <w:rsid w:val="00E1744E"/>
    <w:rsid w:val="00E1747D"/>
    <w:rsid w:val="00E20054"/>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778D6"/>
    <w:rsid w:val="00E8022F"/>
    <w:rsid w:val="00E81D75"/>
    <w:rsid w:val="00E8236B"/>
    <w:rsid w:val="00E84350"/>
    <w:rsid w:val="00E84944"/>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FB9"/>
    <w:rsid w:val="00EB1E9B"/>
    <w:rsid w:val="00EB3DF2"/>
    <w:rsid w:val="00EB4031"/>
    <w:rsid w:val="00EB558A"/>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35F0"/>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2AE9"/>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908342009">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197619906">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0410248">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7028</Words>
  <Characters>40065</Characters>
  <Application>Microsoft Office Word</Application>
  <DocSecurity>0</DocSecurity>
  <Lines>333</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47000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2023-06-20T08:16:00Z</dcterms:created>
  <dcterms:modified xsi:type="dcterms:W3CDTF">2023-06-20T10:26:00Z</dcterms:modified>
</cp:coreProperties>
</file>