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46DD333C"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D14A00" w:rsidRPr="00D14A00">
        <w:rPr>
          <w:rFonts w:ascii="Arial Narrow" w:hAnsi="Arial Narrow"/>
          <w:b/>
          <w:i/>
          <w:color w:val="000000" w:themeColor="text1"/>
          <w:sz w:val="28"/>
          <w:shd w:val="clear" w:color="auto" w:fill="FFFFFF"/>
        </w:rPr>
        <w:t>Plán obnovy 02_IKT bežná</w:t>
      </w:r>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ID zákazky 45899</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38621F59" w14:textId="77777777" w:rsidR="00D14A00" w:rsidRDefault="00D14A00" w:rsidP="008819B2">
      <w:pPr>
        <w:jc w:val="both"/>
        <w:rPr>
          <w:rFonts w:ascii="Arial Narrow" w:hAnsi="Arial Narrow"/>
        </w:rPr>
      </w:pPr>
    </w:p>
    <w:p w14:paraId="70C9EF83" w14:textId="76B928E0"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D14A00">
        <w:rPr>
          <w:rFonts w:ascii="Arial Narrow" w:hAnsi="Arial Narrow"/>
        </w:rPr>
        <w:t xml:space="preserve">september </w:t>
      </w:r>
      <w:r w:rsidR="003A192D">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C0C005D"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A5BF6">
        <w:rPr>
          <w:rFonts w:ascii="Arial Narrow" w:hAnsi="Arial Narrow"/>
        </w:rPr>
        <w:t>Mgr. Martina Hlavová</w:t>
      </w:r>
    </w:p>
    <w:p w14:paraId="55865A77" w14:textId="72FF8804"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7A5BF6">
        <w:rPr>
          <w:rFonts w:ascii="Arial Narrow" w:hAnsi="Arial Narrow"/>
        </w:rPr>
        <w:t>0</w:t>
      </w:r>
    </w:p>
    <w:p w14:paraId="1E497275" w14:textId="4F43640C"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7A5BF6">
        <w:rPr>
          <w:rFonts w:ascii="Arial Narrow" w:hAnsi="Arial Narrow"/>
        </w:rPr>
        <w:t>martina.hlavova</w:t>
      </w:r>
      <w:proofErr w:type="spellEnd"/>
      <w:r w:rsidR="00481BAF" w:rsidRPr="008A38F0">
        <w:rPr>
          <w:rFonts w:ascii="Arial Narrow" w:hAnsi="Arial Narrow"/>
          <w:lang w:val="en-US"/>
        </w:rPr>
        <w:t>@</w:t>
      </w:r>
      <w:r w:rsidR="00481BAF"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532C45C2" w:rsidR="00ED48E3" w:rsidRPr="00042EE2" w:rsidRDefault="00ED48E3" w:rsidP="008A38F0">
      <w:pPr>
        <w:spacing w:line="276" w:lineRule="auto"/>
        <w:jc w:val="both"/>
        <w:rPr>
          <w:rStyle w:val="Hypertextovprepojenie"/>
        </w:rPr>
      </w:pPr>
      <w:r w:rsidRPr="00ED48E3">
        <w:rPr>
          <w:rFonts w:ascii="Arial Narrow" w:hAnsi="Arial Narrow"/>
        </w:rPr>
        <w:t xml:space="preserve">KO: </w:t>
      </w:r>
      <w:hyperlink r:id="rId8" w:history="1">
        <w:r w:rsidR="00D14A00" w:rsidRPr="00C07D7A">
          <w:rPr>
            <w:rStyle w:val="Hypertextovprepojenie"/>
          </w:rPr>
          <w:t>https://josephine.proebiz.com/sk/tender/45899/summary</w:t>
        </w:r>
      </w:hyperlink>
      <w:r w:rsidR="00D14A00">
        <w:t xml:space="preserve"> </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9"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10"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20533049" w:rsidR="00BC4B6D" w:rsidRPr="008A38F0" w:rsidRDefault="00DD5135" w:rsidP="008A38F0">
      <w:pPr>
        <w:pStyle w:val="tl1"/>
        <w:jc w:val="both"/>
        <w:rPr>
          <w:rFonts w:ascii="Arial Narrow" w:hAnsi="Arial Narrow"/>
          <w:sz w:val="24"/>
          <w:szCs w:val="24"/>
        </w:rPr>
      </w:pPr>
      <w:r w:rsidRPr="00DD5135">
        <w:rPr>
          <w:rFonts w:ascii="Arial Narrow" w:hAnsi="Arial Narrow"/>
          <w:sz w:val="24"/>
          <w:szCs w:val="24"/>
        </w:rPr>
        <w:t xml:space="preserve">Predmetom zákazky je zabezpečenie výpočtovej techniky pre útvary </w:t>
      </w:r>
      <w:r>
        <w:rPr>
          <w:rFonts w:ascii="Arial Narrow" w:hAnsi="Arial Narrow"/>
          <w:sz w:val="24"/>
          <w:szCs w:val="24"/>
        </w:rPr>
        <w:t>MV SR</w:t>
      </w:r>
      <w:r w:rsidRPr="00DD5135">
        <w:rPr>
          <w:rFonts w:ascii="Arial Narrow" w:hAnsi="Arial Narrow"/>
          <w:sz w:val="24"/>
          <w:szCs w:val="24"/>
        </w:rPr>
        <w:t xml:space="preserve"> v </w:t>
      </w:r>
      <w:r w:rsidRPr="00830445">
        <w:rPr>
          <w:rFonts w:ascii="Arial Narrow" w:hAnsi="Arial Narrow"/>
          <w:sz w:val="24"/>
          <w:szCs w:val="24"/>
        </w:rPr>
        <w:t xml:space="preserve">rámci Plánu obnovy a odolnosti SR </w:t>
      </w:r>
      <w:r w:rsidR="008B3F3D" w:rsidRPr="00830445">
        <w:rPr>
          <w:rFonts w:ascii="Arial Narrow" w:hAnsi="Arial Narrow"/>
          <w:sz w:val="24"/>
          <w:szCs w:val="24"/>
        </w:rPr>
        <w:t>a s tým súvisiac</w:t>
      </w:r>
      <w:r w:rsidR="00BC1B30" w:rsidRPr="00830445">
        <w:rPr>
          <w:rFonts w:ascii="Arial Narrow" w:hAnsi="Arial Narrow"/>
          <w:sz w:val="24"/>
          <w:szCs w:val="24"/>
        </w:rPr>
        <w:t>e služby</w:t>
      </w:r>
      <w:r w:rsidR="002232C6" w:rsidRPr="00830445">
        <w:rPr>
          <w:rFonts w:ascii="Arial Narrow" w:hAnsi="Arial Narrow"/>
          <w:sz w:val="24"/>
          <w:szCs w:val="24"/>
        </w:rPr>
        <w:t xml:space="preserve"> </w:t>
      </w:r>
      <w:r w:rsidR="00EC5D0F" w:rsidRPr="00830445">
        <w:rPr>
          <w:rFonts w:ascii="Arial Narrow" w:hAnsi="Arial Narrow"/>
          <w:sz w:val="24"/>
          <w:szCs w:val="24"/>
        </w:rPr>
        <w:t xml:space="preserve">v množstve </w:t>
      </w:r>
      <w:r w:rsidR="00E600D3" w:rsidRPr="00830445">
        <w:rPr>
          <w:rFonts w:ascii="Arial Narrow" w:hAnsi="Arial Narrow"/>
          <w:sz w:val="24"/>
          <w:szCs w:val="24"/>
        </w:rPr>
        <w:t>podľa prílohy č. 1</w:t>
      </w:r>
      <w:r w:rsidR="00EC5D0F" w:rsidRPr="00830445">
        <w:rPr>
          <w:rFonts w:ascii="Arial Narrow" w:hAnsi="Arial Narrow"/>
          <w:sz w:val="24"/>
          <w:szCs w:val="24"/>
        </w:rPr>
        <w:t>,</w:t>
      </w:r>
      <w:r w:rsidR="003A192D" w:rsidRPr="00830445">
        <w:rPr>
          <w:rFonts w:ascii="Arial Narrow" w:hAnsi="Arial Narrow"/>
          <w:sz w:val="24"/>
          <w:szCs w:val="24"/>
        </w:rPr>
        <w:t xml:space="preserve"> miesta dodania</w:t>
      </w:r>
      <w:r w:rsidR="00EC5D0F" w:rsidRPr="00830445">
        <w:rPr>
          <w:rFonts w:ascii="Arial Narrow" w:hAnsi="Arial Narrow"/>
          <w:sz w:val="24"/>
          <w:szCs w:val="24"/>
        </w:rPr>
        <w:t xml:space="preserve"> </w:t>
      </w:r>
      <w:r w:rsidR="001726BE" w:rsidRPr="00830445">
        <w:rPr>
          <w:rFonts w:ascii="Arial Narrow" w:hAnsi="Arial Narrow"/>
          <w:sz w:val="24"/>
          <w:szCs w:val="24"/>
        </w:rPr>
        <w:t>definované</w:t>
      </w:r>
      <w:r w:rsidR="001726BE" w:rsidRPr="008819B2">
        <w:rPr>
          <w:rFonts w:ascii="Arial Narrow" w:hAnsi="Arial Narrow"/>
          <w:sz w:val="24"/>
          <w:szCs w:val="24"/>
        </w:rPr>
        <w:t xml:space="preserve">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5836E7D3"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DD5135" w:rsidRPr="00DD5135">
        <w:rPr>
          <w:rFonts w:ascii="Arial Narrow" w:hAnsi="Arial Narrow"/>
          <w:b/>
          <w:bCs/>
          <w:color w:val="000000"/>
        </w:rPr>
        <w:t>249 761,90</w:t>
      </w:r>
      <w:r w:rsidR="00DD5135">
        <w:rPr>
          <w:rFonts w:ascii="Arial Narrow" w:hAnsi="Arial Narrow"/>
          <w:b/>
          <w:bCs/>
          <w:color w:val="000000"/>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0CDCF2CC"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DD5135">
        <w:rPr>
          <w:rFonts w:ascii="Arial Narrow" w:hAnsi="Arial Narrow"/>
          <w:b/>
        </w:rPr>
        <w:t>60</w:t>
      </w:r>
      <w:r w:rsidR="00366C90" w:rsidRPr="008819B2">
        <w:rPr>
          <w:rFonts w:ascii="Arial Narrow" w:hAnsi="Arial Narrow"/>
          <w:b/>
        </w:rPr>
        <w:t xml:space="preserve"> </w:t>
      </w:r>
      <w:r w:rsidR="00EC5D0F" w:rsidRPr="008819B2">
        <w:rPr>
          <w:rFonts w:ascii="Arial Narrow" w:hAnsi="Arial Narrow"/>
          <w:b/>
        </w:rPr>
        <w:t>dní</w:t>
      </w:r>
      <w:r w:rsidR="00EC5D0F" w:rsidRPr="008A38F0">
        <w:rPr>
          <w:rFonts w:ascii="Arial Narrow" w:hAnsi="Arial Narrow"/>
        </w:rPr>
        <w:t xml:space="preserve"> od </w:t>
      </w:r>
      <w:r w:rsidR="005E3E27">
        <w:rPr>
          <w:rFonts w:ascii="Arial Narrow" w:hAnsi="Arial Narrow"/>
        </w:rPr>
        <w:t xml:space="preserve">nadobudnutia účinnosti </w:t>
      </w:r>
      <w:r w:rsidR="00BA0827">
        <w:rPr>
          <w:rFonts w:ascii="Arial Narrow" w:hAnsi="Arial Narrow"/>
        </w:rPr>
        <w:t xml:space="preserve">kúpnej </w:t>
      </w:r>
      <w:r w:rsidR="005E3E27">
        <w:rPr>
          <w:rFonts w:ascii="Arial Narrow" w:hAnsi="Arial Narrow"/>
        </w:rPr>
        <w:t>zmluvy</w:t>
      </w:r>
      <w:r w:rsidR="00EC5D0F" w:rsidRPr="008A38F0">
        <w:rPr>
          <w:rFonts w:ascii="Arial Narrow" w:hAnsi="Arial Narrow"/>
        </w:rPr>
        <w:t>.</w:t>
      </w:r>
    </w:p>
    <w:p w14:paraId="635682C2" w14:textId="36B010A2" w:rsidR="00AE5B02" w:rsidRPr="00366C90" w:rsidRDefault="00AE5B02" w:rsidP="00AE5B02">
      <w:pPr>
        <w:pStyle w:val="Bezriadkovania"/>
        <w:spacing w:line="276" w:lineRule="auto"/>
        <w:jc w:val="both"/>
        <w:rPr>
          <w:rFonts w:ascii="Arial Narrow" w:hAnsi="Arial Narrow" w:cs="Arial"/>
          <w:szCs w:val="22"/>
        </w:rPr>
      </w:pPr>
      <w:r w:rsidRPr="00323A0D">
        <w:rPr>
          <w:rFonts w:ascii="Arial Narrow" w:hAnsi="Arial Narrow" w:cs="Arial"/>
          <w:szCs w:val="22"/>
        </w:rPr>
        <w:t>Predávajúci po dohode s kupujúcim môže dodať tovar aj po častiach s tým, že za riadne dodaný tovar môže vystaviť čiastkovú faktúru a</w:t>
      </w:r>
      <w:r w:rsidR="00366C90" w:rsidRPr="00323A0D">
        <w:rPr>
          <w:rFonts w:ascii="Arial Narrow" w:hAnsi="Arial Narrow" w:cs="Arial"/>
          <w:szCs w:val="22"/>
        </w:rPr>
        <w:t> </w:t>
      </w:r>
      <w:r w:rsidRPr="00323A0D">
        <w:rPr>
          <w:rFonts w:ascii="Arial Narrow" w:hAnsi="Arial Narrow" w:cs="Arial"/>
          <w:szCs w:val="22"/>
        </w:rPr>
        <w:t>kupujúci</w:t>
      </w:r>
      <w:r w:rsidR="00366C90" w:rsidRPr="00323A0D">
        <w:rPr>
          <w:rFonts w:ascii="Arial Narrow" w:hAnsi="Arial Narrow" w:cs="Arial"/>
          <w:szCs w:val="22"/>
        </w:rPr>
        <w:t>,</w:t>
      </w:r>
      <w:r w:rsidRPr="00323A0D">
        <w:rPr>
          <w:rFonts w:ascii="Arial Narrow" w:hAnsi="Arial Narrow" w:cs="Arial"/>
          <w:szCs w:val="22"/>
        </w:rPr>
        <w:t xml:space="preserve"> pokiaľ budú splnené všetky podmienky</w:t>
      </w:r>
      <w:r w:rsidR="00D278E5" w:rsidRPr="00323A0D">
        <w:rPr>
          <w:rFonts w:ascii="Arial Narrow" w:hAnsi="Arial Narrow" w:cs="Arial"/>
          <w:szCs w:val="22"/>
        </w:rPr>
        <w:t>,</w:t>
      </w:r>
      <w:r w:rsidRPr="00323A0D">
        <w:rPr>
          <w:rFonts w:ascii="Arial Narrow" w:hAnsi="Arial Narrow" w:cs="Arial"/>
          <w:szCs w:val="22"/>
        </w:rPr>
        <w:t xml:space="preserve"> uhradí túto čiastkovú faktúru v súlade s podmienkami zmluvy.</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0C4390B4" w14:textId="5AA100C2" w:rsidR="009C6825" w:rsidRPr="00DD5135"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 xml:space="preserve">Predmet zákazky bude financovaný z rozpočtovaných prostriedkov verejného </w:t>
      </w:r>
      <w:r w:rsidRPr="00830445">
        <w:rPr>
          <w:rFonts w:ascii="Arial Narrow" w:hAnsi="Arial Narrow"/>
          <w:sz w:val="24"/>
          <w:szCs w:val="24"/>
        </w:rPr>
        <w:t>obstarávateľa</w:t>
      </w:r>
      <w:r w:rsidR="00DD5135" w:rsidRPr="00830445">
        <w:rPr>
          <w:rFonts w:ascii="Arial Narrow" w:hAnsi="Arial Narrow"/>
          <w:sz w:val="24"/>
          <w:szCs w:val="24"/>
          <w:lang w:val="sk-SK"/>
        </w:rPr>
        <w:t xml:space="preserve"> a </w:t>
      </w:r>
      <w:r w:rsidR="00DD5135" w:rsidRPr="00830445">
        <w:rPr>
          <w:rFonts w:ascii="Arial Narrow" w:hAnsi="Arial Narrow"/>
          <w:sz w:val="24"/>
          <w:szCs w:val="24"/>
        </w:rPr>
        <w:t>Plánu obnovy a odolnosti SR</w:t>
      </w:r>
      <w:r w:rsidR="00DD5135" w:rsidRPr="00830445">
        <w:rPr>
          <w:rFonts w:ascii="Arial Narrow" w:hAnsi="Arial Narrow"/>
          <w:sz w:val="24"/>
          <w:szCs w:val="24"/>
          <w:lang w:val="sk-SK"/>
        </w:rPr>
        <w:t>.</w:t>
      </w:r>
      <w:bookmarkStart w:id="4" w:name="_GoBack"/>
      <w:bookmarkEnd w:id="4"/>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2A69F0">
        <w:rPr>
          <w:rFonts w:ascii="Arial Narrow" w:hAnsi="Arial Narrow"/>
        </w:rPr>
        <w:t>Edge</w:t>
      </w:r>
      <w:proofErr w:type="spellEnd"/>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00D3528A"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na vyhodnotenie ponúk počas vyhodnotenia ponúk bude prebiehať elektronicky, prostredníctvom komunikačného rozhrania elektronického </w:t>
      </w:r>
      <w:r w:rsidRPr="007A5BF6">
        <w:rPr>
          <w:rFonts w:ascii="Arial Narrow" w:eastAsia="TimesNewRomanPSMT" w:hAnsi="Arial Narrow"/>
          <w:color w:val="000000"/>
        </w:rPr>
        <w:lastRenderedPageBreak/>
        <w:t xml:space="preserve">prostriedku JOSEPHINE. 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7A9E4B57" w:rsidR="009C6825" w:rsidRPr="008A38F0"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6"/>
      <w:footerReference w:type="default" r:id="rId17"/>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F10EE" w14:textId="77777777" w:rsidR="00DB79B5" w:rsidRDefault="00DB79B5">
      <w:r>
        <w:separator/>
      </w:r>
    </w:p>
  </w:endnote>
  <w:endnote w:type="continuationSeparator" w:id="0">
    <w:p w14:paraId="1801D32D" w14:textId="77777777" w:rsidR="00DB79B5" w:rsidRDefault="00DB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22BF56DA" w:rsidR="00312F97" w:rsidRPr="00BA0827" w:rsidRDefault="00F8668C" w:rsidP="00BA0827">
    <w:pPr>
      <w:pStyle w:val="Pta"/>
      <w:rPr>
        <w:lang w:val="sk-SK"/>
      </w:rPr>
    </w:pPr>
    <w:r w:rsidRPr="00F8668C">
      <w:rPr>
        <w:sz w:val="22"/>
      </w:rPr>
      <w:t xml:space="preserve">Plán obnovy 02_IKT bežná </w:t>
    </w:r>
    <w:r w:rsidR="00BA0827" w:rsidRPr="00BA0827">
      <w:rPr>
        <w:sz w:val="22"/>
      </w:rPr>
      <w:t xml:space="preserve">- </w:t>
    </w:r>
    <w:r w:rsidR="00BA0827" w:rsidRPr="00BA0827">
      <w:rPr>
        <w:sz w:val="22"/>
        <w:lang w:val="sk-SK"/>
      </w:rPr>
      <w:t xml:space="preserve">ID </w:t>
    </w:r>
    <w:r>
      <w:rPr>
        <w:sz w:val="22"/>
        <w:lang w:val="sk-SK"/>
      </w:rPr>
      <w:t>45899</w:t>
    </w:r>
    <w:r w:rsidR="00BA0827" w:rsidRPr="00BA0827">
      <w:rPr>
        <w:sz w:val="20"/>
        <w:szCs w:val="22"/>
        <w:lang w:val="sk-SK"/>
      </w:rPr>
      <w:tab/>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830445" w:rsidRPr="00830445">
      <w:rPr>
        <w:b/>
        <w:bCs/>
        <w:noProof/>
        <w:sz w:val="20"/>
        <w:szCs w:val="22"/>
        <w:lang w:val="sk-SK"/>
      </w:rPr>
      <w:t>8</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830445" w:rsidRPr="00830445">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C1FBF" w14:textId="77777777" w:rsidR="00DB79B5" w:rsidRDefault="00DB79B5">
      <w:r>
        <w:separator/>
      </w:r>
    </w:p>
  </w:footnote>
  <w:footnote w:type="continuationSeparator" w:id="0">
    <w:p w14:paraId="181F8877" w14:textId="77777777" w:rsidR="00DB79B5" w:rsidRDefault="00DB7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rgUAyF1KB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2EE2"/>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A0D"/>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5D5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445"/>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B79B5"/>
    <w:rsid w:val="00DC0387"/>
    <w:rsid w:val="00DC12E9"/>
    <w:rsid w:val="00DC14DA"/>
    <w:rsid w:val="00DC28A0"/>
    <w:rsid w:val="00DC2B51"/>
    <w:rsid w:val="00DC2CFD"/>
    <w:rsid w:val="00DC346B"/>
    <w:rsid w:val="00DC5CF2"/>
    <w:rsid w:val="00DC6CF8"/>
    <w:rsid w:val="00DC7FFA"/>
    <w:rsid w:val="00DD38E4"/>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113"/>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5899/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zakaziek/detail/dokumenty/4340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41F0B-7F88-4EF4-8AA3-989B8A254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20</TotalTime>
  <Pages>9</Pages>
  <Words>3069</Words>
  <Characters>17499</Characters>
  <Application>Microsoft Office Word</Application>
  <DocSecurity>0</DocSecurity>
  <Lines>145</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20527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16</cp:revision>
  <cp:lastPrinted>2023-04-04T05:36:00Z</cp:lastPrinted>
  <dcterms:created xsi:type="dcterms:W3CDTF">2023-02-02T11:04:00Z</dcterms:created>
  <dcterms:modified xsi:type="dcterms:W3CDTF">2023-09-18T05:24:00Z</dcterms:modified>
</cp:coreProperties>
</file>