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6BE5A1CC"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246E39">
        <w:rPr>
          <w:b w:val="0"/>
          <w:bCs w:val="0"/>
          <w:sz w:val="24"/>
        </w:rPr>
        <w:t>3/xxx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52D66179" w:rsidR="00F013A2" w:rsidRPr="006C6244" w:rsidRDefault="008703AE" w:rsidP="00F013A2">
      <w:pPr>
        <w:pStyle w:val="Zkladntextodsazen2"/>
        <w:numPr>
          <w:ilvl w:val="0"/>
          <w:numId w:val="2"/>
        </w:numPr>
        <w:spacing w:before="120"/>
        <w:rPr>
          <w:szCs w:val="24"/>
        </w:rPr>
      </w:pPr>
      <w:r w:rsidRPr="00F013A2">
        <w:rPr>
          <w:szCs w:val="24"/>
        </w:rPr>
        <w:t xml:space="preserve">Předmětem </w:t>
      </w:r>
      <w:r w:rsidR="000578E2" w:rsidRPr="00F013A2">
        <w:rPr>
          <w:szCs w:val="24"/>
        </w:rPr>
        <w:t>této smlouvy je</w:t>
      </w:r>
      <w:r w:rsidR="00A844DB" w:rsidRPr="00F013A2">
        <w:rPr>
          <w:szCs w:val="24"/>
        </w:rPr>
        <w:t xml:space="preserve"> </w:t>
      </w:r>
      <w:r w:rsidR="00AA046D" w:rsidRPr="00F013A2">
        <w:rPr>
          <w:szCs w:val="24"/>
        </w:rPr>
        <w:t xml:space="preserve">provedení </w:t>
      </w:r>
      <w:r w:rsidR="00150BCA" w:rsidRPr="00F013A2">
        <w:rPr>
          <w:szCs w:val="24"/>
        </w:rPr>
        <w:t>akce s </w:t>
      </w:r>
      <w:r w:rsidR="00150BCA" w:rsidRPr="00AC7B7E">
        <w:rPr>
          <w:szCs w:val="24"/>
        </w:rPr>
        <w:t xml:space="preserve">názvem: </w:t>
      </w:r>
      <w:bookmarkStart w:id="0" w:name="_Hlk77849586"/>
      <w:r w:rsidR="00F013A2" w:rsidRPr="00AC7B7E">
        <w:rPr>
          <w:b/>
          <w:bCs/>
        </w:rPr>
        <w:t>„</w:t>
      </w:r>
      <w:bookmarkEnd w:id="0"/>
      <w:r w:rsidR="00AC7B7E" w:rsidRPr="00AC7B7E">
        <w:rPr>
          <w:b/>
          <w:bCs/>
        </w:rPr>
        <w:t>Oprava podlahy hala vozovny  - vozovna Pisárky</w:t>
      </w:r>
      <w:r w:rsidR="00F013A2" w:rsidRPr="00AC7B7E">
        <w:rPr>
          <w:b/>
          <w:bCs/>
        </w:rPr>
        <w:t>“</w:t>
      </w:r>
      <w:r w:rsidR="00EF4184" w:rsidRPr="00AC7B7E">
        <w:rPr>
          <w:bCs/>
          <w:szCs w:val="24"/>
        </w:rPr>
        <w:t xml:space="preserve"> </w:t>
      </w:r>
      <w:r w:rsidR="00F013A2" w:rsidRPr="00AC7B7E">
        <w:rPr>
          <w:szCs w:val="24"/>
        </w:rPr>
        <w:t xml:space="preserve">v rozsahu dle technického zadání vč. půdorysu vedení </w:t>
      </w:r>
      <w:r w:rsidR="00933388">
        <w:rPr>
          <w:szCs w:val="24"/>
        </w:rPr>
        <w:t>kolejí</w:t>
      </w:r>
      <w:r w:rsidR="00F013A2" w:rsidRPr="00AC7B7E">
        <w:rPr>
          <w:szCs w:val="24"/>
        </w:rPr>
        <w:t>, které tvoří nedílnou součást této smlouvy jakožto příloha č. 1 –</w:t>
      </w:r>
      <w:r w:rsidR="000548B3">
        <w:rPr>
          <w:szCs w:val="24"/>
        </w:rPr>
        <w:t xml:space="preserve"> </w:t>
      </w:r>
      <w:r w:rsidR="00AC7B7E">
        <w:rPr>
          <w:szCs w:val="24"/>
        </w:rPr>
        <w:t>Cenová nabídka</w:t>
      </w:r>
      <w:r w:rsidR="00F013A2">
        <w:rPr>
          <w:szCs w:val="24"/>
        </w:rPr>
        <w:t xml:space="preserve"> </w:t>
      </w:r>
      <w:r w:rsidR="00F013A2" w:rsidRPr="006C6244">
        <w:rPr>
          <w:szCs w:val="24"/>
        </w:rPr>
        <w:t>(dále jen „dílo“ nebo „předmět smlouvy“).</w:t>
      </w:r>
    </w:p>
    <w:p w14:paraId="0624A5B0" w14:textId="7194AAC5" w:rsidR="00346247" w:rsidRPr="00F013A2" w:rsidRDefault="003C4E61" w:rsidP="00346247">
      <w:pPr>
        <w:pStyle w:val="Zkladntextodsazen2"/>
        <w:numPr>
          <w:ilvl w:val="0"/>
          <w:numId w:val="2"/>
        </w:numPr>
        <w:spacing w:before="120"/>
        <w:rPr>
          <w:szCs w:val="24"/>
        </w:rPr>
      </w:pPr>
      <w:r w:rsidRPr="00F013A2">
        <w:rPr>
          <w:szCs w:val="24"/>
        </w:rPr>
        <w:t xml:space="preserve">Místem plnění je </w:t>
      </w:r>
      <w:r w:rsidR="000A6156" w:rsidRPr="00F013A2">
        <w:rPr>
          <w:szCs w:val="24"/>
        </w:rPr>
        <w:t>m</w:t>
      </w:r>
      <w:r w:rsidR="00D46854" w:rsidRPr="00F013A2">
        <w:rPr>
          <w:szCs w:val="24"/>
        </w:rPr>
        <w:t>ěsto Brno,</w:t>
      </w:r>
      <w:r w:rsidR="001F6783" w:rsidRPr="00F013A2">
        <w:rPr>
          <w:szCs w:val="24"/>
        </w:rPr>
        <w:t xml:space="preserve"> </w:t>
      </w:r>
      <w:r w:rsidR="00246E39" w:rsidRPr="00F013A2">
        <w:rPr>
          <w:szCs w:val="24"/>
        </w:rPr>
        <w:t>budova</w:t>
      </w:r>
      <w:r w:rsidR="00EF4184" w:rsidRPr="00F013A2">
        <w:rPr>
          <w:szCs w:val="24"/>
        </w:rPr>
        <w:t xml:space="preserve"> DPMB, a.s.</w:t>
      </w:r>
      <w:r w:rsidR="00AC0C75" w:rsidRPr="00F013A2">
        <w:rPr>
          <w:szCs w:val="24"/>
        </w:rPr>
        <w:t xml:space="preserve">, </w:t>
      </w:r>
      <w:r w:rsidR="000548B3">
        <w:rPr>
          <w:szCs w:val="24"/>
        </w:rPr>
        <w:t>Pisárky</w:t>
      </w:r>
      <w:r w:rsidR="00071E27">
        <w:rPr>
          <w:szCs w:val="24"/>
        </w:rPr>
        <w:t>, Hlinky 151</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107789CD"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dodání</w:t>
      </w:r>
      <w:r w:rsidRPr="0039008F">
        <w:rPr>
          <w:bCs/>
          <w:sz w:val="24"/>
          <w:szCs w:val="24"/>
        </w:rPr>
        <w:t xml:space="preserve"> 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B92603">
        <w:rPr>
          <w:bCs/>
          <w:sz w:val="24"/>
          <w:szCs w:val="24"/>
        </w:rPr>
        <w:t xml:space="preserve">případné </w:t>
      </w:r>
      <w:r w:rsidRPr="0039008F">
        <w:rPr>
          <w:bCs/>
          <w:sz w:val="24"/>
          <w:szCs w:val="24"/>
        </w:rPr>
        <w:t>požadavků vyplývajících ze stanovisek a vyjádření dotčených orgánů a organizací</w:t>
      </w:r>
      <w:r>
        <w:rPr>
          <w:bCs/>
          <w:sz w:val="24"/>
          <w:szCs w:val="24"/>
        </w:rPr>
        <w:t xml:space="preserve"> a to vše ve </w:t>
      </w:r>
      <w:r w:rsidR="00AC7B7E">
        <w:rPr>
          <w:bCs/>
          <w:sz w:val="24"/>
          <w:szCs w:val="24"/>
        </w:rPr>
        <w:t>2</w:t>
      </w:r>
      <w:r>
        <w:rPr>
          <w:bCs/>
          <w:sz w:val="24"/>
          <w:szCs w:val="24"/>
        </w:rPr>
        <w:t xml:space="preserve"> vyhotoveních</w:t>
      </w:r>
      <w:r w:rsidR="00B92603">
        <w:rPr>
          <w:bCs/>
          <w:sz w:val="24"/>
          <w:szCs w:val="24"/>
        </w:rPr>
        <w:t xml:space="preserve"> a 1x na flash disku</w:t>
      </w:r>
      <w:r>
        <w:rPr>
          <w:bCs/>
          <w:sz w:val="24"/>
          <w:szCs w:val="24"/>
        </w:rPr>
        <w:t>.</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48B1468B"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AC7B7E">
        <w:rPr>
          <w:sz w:val="24"/>
          <w:szCs w:val="24"/>
        </w:rPr>
        <w:t>2</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 xml:space="preserve">díla, které </w:t>
      </w:r>
      <w:r w:rsidR="00052ABE">
        <w:rPr>
          <w:szCs w:val="24"/>
        </w:rPr>
        <w:lastRenderedPageBreak/>
        <w:t>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18074352" w14:textId="77777777" w:rsidR="00AC7B7E" w:rsidRPr="00192BC3" w:rsidRDefault="00AC7B7E" w:rsidP="00AC7B7E">
      <w:pPr>
        <w:pStyle w:val="Odstavecseseznamem"/>
        <w:numPr>
          <w:ilvl w:val="0"/>
          <w:numId w:val="14"/>
        </w:numPr>
        <w:spacing w:line="276" w:lineRule="auto"/>
        <w:ind w:left="284" w:hanging="284"/>
        <w:jc w:val="both"/>
        <w:rPr>
          <w:sz w:val="24"/>
          <w:szCs w:val="24"/>
        </w:rPr>
      </w:pPr>
      <w:r w:rsidRPr="00192BC3">
        <w:rPr>
          <w:sz w:val="24"/>
          <w:szCs w:val="24"/>
        </w:rPr>
        <w:t>Zhotoviteli nebude poskytnuta záloha na provádění díla.</w:t>
      </w:r>
    </w:p>
    <w:p w14:paraId="69AE52D7" w14:textId="77777777" w:rsidR="00AC7B7E" w:rsidRDefault="00AC7B7E" w:rsidP="00AC7B7E">
      <w:pPr>
        <w:pStyle w:val="Odstavecseseznamem"/>
        <w:numPr>
          <w:ilvl w:val="0"/>
          <w:numId w:val="14"/>
        </w:numPr>
        <w:spacing w:before="120" w:line="276" w:lineRule="auto"/>
        <w:ind w:left="284" w:hanging="284"/>
        <w:jc w:val="both"/>
        <w:rPr>
          <w:sz w:val="24"/>
          <w:szCs w:val="24"/>
        </w:rPr>
      </w:pPr>
      <w:r w:rsidRPr="007F41F4">
        <w:rPr>
          <w:sz w:val="24"/>
          <w:szCs w:val="24"/>
        </w:rPr>
        <w:t xml:space="preserve">Cena díla bude uhrazena objednatelem na základě faktury (daňového dokladu) vystavené zhotovitelem po předání a převzetí </w:t>
      </w:r>
      <w:r>
        <w:rPr>
          <w:sz w:val="24"/>
          <w:szCs w:val="24"/>
        </w:rPr>
        <w:t>díla</w:t>
      </w:r>
      <w:r w:rsidRPr="007F41F4">
        <w:rPr>
          <w:sz w:val="24"/>
          <w:szCs w:val="24"/>
        </w:rPr>
        <w:t>.</w:t>
      </w:r>
      <w:r w:rsidRPr="007F41F4">
        <w:rPr>
          <w:color w:val="FF0000"/>
          <w:sz w:val="24"/>
          <w:szCs w:val="24"/>
        </w:rPr>
        <w:t xml:space="preserve"> </w:t>
      </w:r>
      <w:r w:rsidRPr="007F41F4">
        <w:rPr>
          <w:sz w:val="24"/>
          <w:szCs w:val="24"/>
        </w:rPr>
        <w:t xml:space="preserve">Nedílnou součástí faktury bude </w:t>
      </w:r>
      <w:r>
        <w:rPr>
          <w:sz w:val="24"/>
          <w:szCs w:val="24"/>
        </w:rPr>
        <w:t>předávací protokol díla</w:t>
      </w:r>
      <w:r w:rsidRPr="007F41F4">
        <w:rPr>
          <w:sz w:val="24"/>
          <w:szCs w:val="24"/>
        </w:rPr>
        <w:t xml:space="preserve"> se soupisem provedených prací a dodávek, který bude potvrzen osobou odpovědnou za plnění ustanovení této smlouvy nebo jí ustanovenou osobou. </w:t>
      </w:r>
    </w:p>
    <w:p w14:paraId="7A8695D4" w14:textId="27A6652F" w:rsidR="00F013A2" w:rsidRPr="00192BC3" w:rsidRDefault="00F013A2" w:rsidP="00AC7B7E">
      <w:pPr>
        <w:pStyle w:val="Odstavecseseznamem"/>
        <w:spacing w:before="120"/>
        <w:ind w:left="284"/>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6BE5FD83" w14:textId="07FCB2E6" w:rsidR="00CA3595" w:rsidRPr="00192BC3" w:rsidRDefault="00FB6812" w:rsidP="00AC7B7E">
      <w:pPr>
        <w:pStyle w:val="Odstavecseseznamem"/>
        <w:spacing w:before="120"/>
        <w:ind w:left="284"/>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AC7B7E">
        <w:rPr>
          <w:sz w:val="24"/>
          <w:szCs w:val="24"/>
        </w:rPr>
        <w:t>Ing. Michal Kotas</w:t>
      </w:r>
      <w:r w:rsidR="000548B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1FE0EE79" w:rsidR="00180681" w:rsidRPr="00AC7B7E" w:rsidRDefault="00180681" w:rsidP="00AC7B7E">
      <w:pPr>
        <w:pStyle w:val="Odstavecseseznamem"/>
        <w:numPr>
          <w:ilvl w:val="0"/>
          <w:numId w:val="14"/>
        </w:numPr>
        <w:spacing w:before="120"/>
        <w:ind w:left="284" w:hanging="284"/>
        <w:jc w:val="both"/>
        <w:rPr>
          <w:iCs/>
          <w:sz w:val="24"/>
          <w:szCs w:val="24"/>
        </w:rPr>
      </w:pPr>
      <w:r w:rsidRPr="00AC7B7E">
        <w:rPr>
          <w:sz w:val="24"/>
          <w:szCs w:val="24"/>
        </w:rPr>
        <w:t>Objednatel je povinen za fakturu zaplatit bezhotovostním převodem na účet zhotovitele, který je uvedený na faktuře (daňovém dokladu), do 30 dnů od jejího řádného doručení.</w:t>
      </w:r>
      <w:r w:rsidRPr="00AC7B7E">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AC7B7E">
      <w:pPr>
        <w:numPr>
          <w:ilvl w:val="0"/>
          <w:numId w:val="1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AC7B7E">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AC7B7E">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54EE3D63"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24F20C85" w14:textId="6EEB433D" w:rsidR="00B92603" w:rsidRPr="00294918" w:rsidRDefault="00B92603" w:rsidP="000C526E">
      <w:pPr>
        <w:numPr>
          <w:ilvl w:val="0"/>
          <w:numId w:val="21"/>
        </w:numPr>
        <w:spacing w:before="120"/>
        <w:ind w:left="357" w:hanging="357"/>
        <w:jc w:val="both"/>
        <w:rPr>
          <w:sz w:val="24"/>
          <w:szCs w:val="24"/>
        </w:rPr>
      </w:pPr>
      <w:r>
        <w:rPr>
          <w:sz w:val="24"/>
          <w:szCs w:val="24"/>
        </w:rPr>
        <w:t>Provedené dílo bude realizováno na etapy dle domluvy se zástupcem investora. Rozsah dané etapy bude koordinován s potřeby provozu vozovny Pisárky.</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533BEF8D"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s dílem související dokumentace uvedené v článku I. bod 4, písm. a) – </w:t>
      </w:r>
      <w:r w:rsidR="00AC7B7E">
        <w:rPr>
          <w:sz w:val="24"/>
          <w:szCs w:val="24"/>
        </w:rPr>
        <w:t>b</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143556C8" w14:textId="2B334265" w:rsidR="00CA6AC6" w:rsidRDefault="00CA6AC6"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7363D163"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AC7B7E">
        <w:rPr>
          <w:sz w:val="24"/>
          <w:szCs w:val="24"/>
        </w:rPr>
        <w:t>36</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40CF687D"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071E27">
        <w:rPr>
          <w:sz w:val="24"/>
          <w:szCs w:val="24"/>
        </w:rPr>
        <w:t>, nebo ve lhůtě stanovené objednatelem</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lastRenderedPageBreak/>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3C57ACA3"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 xml:space="preserve">V případě, že na jedné nebo na druhé smluvní straně nastanou změny (například změna sídla, změna jednajících osob atd.), je povinna smluvní strana, u níž došlo k těmto změnám, </w:t>
      </w:r>
      <w:r w:rsidRPr="009B503E">
        <w:lastRenderedPageBreak/>
        <w:t>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lastRenderedPageBreak/>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614E877A"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2DCA66DA"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AC7B7E">
        <w:rPr>
          <w:bCs/>
        </w:rPr>
        <w:t>Cenová nabídka</w:t>
      </w:r>
    </w:p>
    <w:p w14:paraId="6CB01262" w14:textId="48374536" w:rsidR="00F013A2" w:rsidRPr="009B503E" w:rsidRDefault="00F013A2" w:rsidP="00F013A2">
      <w:pPr>
        <w:pStyle w:val="Normlnweb"/>
        <w:spacing w:line="276" w:lineRule="auto"/>
        <w:jc w:val="both"/>
        <w:rPr>
          <w:bCs/>
        </w:rPr>
      </w:pPr>
      <w:r>
        <w:rPr>
          <w:bCs/>
        </w:rPr>
        <w:t xml:space="preserve">Příloha č. 2 - </w:t>
      </w:r>
      <w:r w:rsidRPr="00E60734">
        <w:t>Smluvní pokuty za porušení předpisů BOZP</w:t>
      </w: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423D0F">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25FB" w14:textId="77777777" w:rsidR="0012436F" w:rsidRDefault="0012436F">
      <w:r>
        <w:separator/>
      </w:r>
    </w:p>
  </w:endnote>
  <w:endnote w:type="continuationSeparator" w:id="0">
    <w:p w14:paraId="29A9D561" w14:textId="77777777" w:rsidR="0012436F" w:rsidRDefault="0012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5AD33AD6" w:rsidR="008769BC" w:rsidRDefault="009238F1">
    <w:pPr>
      <w:pStyle w:val="Zpat"/>
    </w:pPr>
    <w:r w:rsidRPr="00887EB2">
      <w:t>Sml</w:t>
    </w:r>
    <w:r>
      <w:t xml:space="preserve">ouva </w:t>
    </w:r>
    <w:r w:rsidRPr="00887EB2">
      <w:t>č.</w:t>
    </w:r>
    <w:r w:rsidR="00AC0C75">
      <w:t>2</w:t>
    </w:r>
    <w:r w:rsidR="00246E39">
      <w:t>3/xxx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4675" w14:textId="77777777" w:rsidR="0012436F" w:rsidRDefault="0012436F">
      <w:r>
        <w:separator/>
      </w:r>
    </w:p>
  </w:footnote>
  <w:footnote w:type="continuationSeparator" w:id="0">
    <w:p w14:paraId="255EBC2D" w14:textId="77777777" w:rsidR="0012436F" w:rsidRDefault="0012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1E27"/>
    <w:rsid w:val="000744F7"/>
    <w:rsid w:val="00076266"/>
    <w:rsid w:val="0007721D"/>
    <w:rsid w:val="00080C8E"/>
    <w:rsid w:val="00081649"/>
    <w:rsid w:val="00083A39"/>
    <w:rsid w:val="00084C82"/>
    <w:rsid w:val="00085E70"/>
    <w:rsid w:val="00087641"/>
    <w:rsid w:val="000913D4"/>
    <w:rsid w:val="00094224"/>
    <w:rsid w:val="0009593D"/>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36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10"/>
    <w:rsid w:val="002161FC"/>
    <w:rsid w:val="002218A2"/>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4460"/>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8E1"/>
    <w:rsid w:val="00791BF8"/>
    <w:rsid w:val="007A26E7"/>
    <w:rsid w:val="007A46D3"/>
    <w:rsid w:val="007A74DB"/>
    <w:rsid w:val="007A7793"/>
    <w:rsid w:val="007B04C2"/>
    <w:rsid w:val="007B0A40"/>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388"/>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C7B7E"/>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2603"/>
    <w:rsid w:val="00B938AD"/>
    <w:rsid w:val="00B950F6"/>
    <w:rsid w:val="00BB6B4A"/>
    <w:rsid w:val="00BC61FA"/>
    <w:rsid w:val="00BD0B3D"/>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592D"/>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2611</Words>
  <Characters>15407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6</cp:revision>
  <cp:lastPrinted>2018-08-02T10:52:00Z</cp:lastPrinted>
  <dcterms:created xsi:type="dcterms:W3CDTF">2023-06-15T12:34:00Z</dcterms:created>
  <dcterms:modified xsi:type="dcterms:W3CDTF">2023-09-08T07:44:00Z</dcterms:modified>
</cp:coreProperties>
</file>