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D282" w14:textId="77777777" w:rsidR="00A319D7" w:rsidRPr="00650720" w:rsidRDefault="00A319D7" w:rsidP="00A319D7"/>
    <w:p w14:paraId="0BF15781" w14:textId="4A6B451A" w:rsidR="001A15A5" w:rsidRPr="00650720" w:rsidRDefault="001A15A5" w:rsidP="00F472D6">
      <w:pPr>
        <w:rPr>
          <w:b/>
          <w:u w:val="single"/>
        </w:rPr>
      </w:pPr>
      <w:r w:rsidRPr="00650720">
        <w:rPr>
          <w:b/>
          <w:u w:val="single"/>
        </w:rPr>
        <w:t>Odôvodnenie nerozdelenia zákazky podľa ustanovenia § 28 ods. 2 ZVO</w:t>
      </w:r>
    </w:p>
    <w:p w14:paraId="31CA6855" w14:textId="2B6FC207" w:rsidR="008F7574" w:rsidRPr="00650720" w:rsidRDefault="008F7574" w:rsidP="00F472D6">
      <w:r w:rsidRPr="00650720">
        <w:t>Verejný obstarávateľ má podľa ustanovenia § 28 ods. 2 zákona č. 343/2015 Z. z. o verejnom obstarávaní a o zmene a doplnení niektorých zákonov v znení neskorších predpisov (ďalej aj ako „ZVO“) povinnosť</w:t>
      </w:r>
      <w:r w:rsidR="005275B6" w:rsidRPr="00650720">
        <w:t>,</w:t>
      </w:r>
      <w:r w:rsidRPr="00650720">
        <w:t xml:space="preserve"> v prípade, ak </w:t>
      </w:r>
      <w:r w:rsidRPr="00650720">
        <w:rPr>
          <w:rFonts w:cs="Arial"/>
          <w:szCs w:val="20"/>
        </w:rPr>
        <w:t>nerozdelí zákazku na časti, odôvodnenie uviesť v oznámení o vyhlásení verejného obstarávania alebo v súťažných podkladoch</w:t>
      </w:r>
      <w:r w:rsidRPr="00650720">
        <w:t>.</w:t>
      </w:r>
    </w:p>
    <w:p w14:paraId="4A3348D2" w14:textId="34CA7833" w:rsidR="008F7574" w:rsidRPr="00650720" w:rsidRDefault="00F472D6" w:rsidP="008F7574">
      <w:r w:rsidRPr="00650720">
        <w:t>V nadväznosti na vyššie uvedenú povinnosť Verejný obstarávateľ uvádza nasledovné odôvodnenie nerozdelenia zákazky na časti:</w:t>
      </w:r>
    </w:p>
    <w:p w14:paraId="6F588245" w14:textId="6D5E8A26" w:rsidR="00F472D6" w:rsidRPr="00650720" w:rsidRDefault="00A319D7" w:rsidP="00F472D6">
      <w:r w:rsidRPr="00650720">
        <w:t xml:space="preserve">Predmet zákazky je koncipovaný ako </w:t>
      </w:r>
      <w:r w:rsidR="00C64C9C" w:rsidRPr="00650720">
        <w:t>rekonštrukcia a modernizácia energetického hospodárstva a niektorých ďalších prvkov vybraného súboru budov vo vlastníctve Hlavného mesta Slovenskej republiky Bratislava, ktorej cieľom je zvýšenie energetickej efektívnosti a tiež zlepšenie faktického stavu týchto budov</w:t>
      </w:r>
      <w:r w:rsidRPr="00650720">
        <w:t xml:space="preserve">. </w:t>
      </w:r>
    </w:p>
    <w:p w14:paraId="7B51284E" w14:textId="54FC309A" w:rsidR="00C64C9C" w:rsidRDefault="00B4357F" w:rsidP="00F472D6">
      <w:r w:rsidRPr="00650720">
        <w:t xml:space="preserve">Predmet zákazky je iba jedna časť komplexného </w:t>
      </w:r>
      <w:r w:rsidR="00C64C9C" w:rsidRPr="00650720">
        <w:t>p</w:t>
      </w:r>
      <w:r w:rsidRPr="00650720">
        <w:t xml:space="preserve">rojektu </w:t>
      </w:r>
      <w:r w:rsidR="00DE48A7" w:rsidRPr="00650720">
        <w:t>zameraného na celkovú rekonštrukciu verejných budov a ich energetického hospodárstva</w:t>
      </w:r>
      <w:r w:rsidR="00CC438F" w:rsidRPr="00650720">
        <w:t>, ktorý bude spolufinancovaný z</w:t>
      </w:r>
      <w:r w:rsidR="00650720" w:rsidRPr="00650720">
        <w:t> </w:t>
      </w:r>
      <w:r w:rsidR="00CC438F" w:rsidRPr="00650720">
        <w:t>prostriedkov</w:t>
      </w:r>
      <w:r w:rsidR="00650720" w:rsidRPr="00650720">
        <w:t xml:space="preserve"> </w:t>
      </w:r>
      <w:r w:rsidR="00D72A70">
        <w:t>Projektu ELENA</w:t>
      </w:r>
      <w:r w:rsidR="00650720" w:rsidRPr="00650720">
        <w:t xml:space="preserve"> na základe </w:t>
      </w:r>
      <w:r w:rsidR="00650720">
        <w:t xml:space="preserve">grantovej dohody </w:t>
      </w:r>
      <w:r w:rsidR="00D72A70">
        <w:t xml:space="preserve">uzatvorenou s Európskou Investičnou Bankou na základe zmluvy č. </w:t>
      </w:r>
      <w:r w:rsidR="00D72A70" w:rsidRPr="00D72A70">
        <w:t>ELENA-201</w:t>
      </w:r>
      <w:r w:rsidR="00D72A70">
        <w:t>4</w:t>
      </w:r>
      <w:r w:rsidR="00D72A70" w:rsidRPr="00D72A70">
        <w:t>-046</w:t>
      </w:r>
      <w:r w:rsidR="00650720">
        <w:t>.</w:t>
      </w:r>
    </w:p>
    <w:p w14:paraId="498B1C18" w14:textId="71434387" w:rsidR="00650720" w:rsidRDefault="00650720" w:rsidP="00F472D6">
      <w:r>
        <w:t xml:space="preserve">Prioritným cieľom je zabezpečiť tieto rekonštrukcie, najmä časti týkajúce sa energetického hospodárstva budov, prostredníctvom tzv. </w:t>
      </w:r>
      <w:r w:rsidR="002218B7">
        <w:t xml:space="preserve">garantovanej energetickej služby na základe zmluvy </w:t>
      </w:r>
      <w:r w:rsidR="002218B7" w:rsidRPr="00D46D28">
        <w:t>o energetickej efektívnosti uzatvorenej podľa ustanoven</w:t>
      </w:r>
      <w:r w:rsidR="002218B7">
        <w:t>í</w:t>
      </w:r>
      <w:r w:rsidR="002218B7" w:rsidRPr="00D46D28">
        <w:t xml:space="preserve"> § 17 a § 18 zákona č. 321/2014 Z. z. o energetickej efektívnosti a o zmene a doplnení niektorých zákonov v znení neskorších predpisov (ďalej aj ako „</w:t>
      </w:r>
      <w:r w:rsidR="002218B7" w:rsidRPr="00D46D28">
        <w:rPr>
          <w:b/>
        </w:rPr>
        <w:t>Zákon o energetickej efektívnosti</w:t>
      </w:r>
      <w:r w:rsidR="002218B7" w:rsidRPr="00D46D28">
        <w:t>“)</w:t>
      </w:r>
      <w:r w:rsidR="002218B7">
        <w:t xml:space="preserve">. Podľa </w:t>
      </w:r>
      <w:r w:rsidR="005A357F">
        <w:t xml:space="preserve">ustanovenia § 18 ods. 6 Zákona o energetickej efektívnosti pokiaľ je zmluva </w:t>
      </w:r>
      <w:r w:rsidR="005A357F" w:rsidRPr="005A357F">
        <w:t>o energetickej efektívnosti pre verejný sektor v súlade so vzorom zmluvy o energetickej efektívnosti pre verejný sektor a metodikou na prípravu a realizáciu garantovanej energetickej služby pre verejný sektor, považuje sa za zmluvu o energetickej efektívnosti pre verejný sektor, ktorá nemá dôsledky na výšku dlhu verejnej správy v jednotnej metodike platnej pre Európsku úniu</w:t>
      </w:r>
      <w:r w:rsidR="005A357F">
        <w:t>.</w:t>
      </w:r>
    </w:p>
    <w:p w14:paraId="3C82838F" w14:textId="76219075" w:rsidR="005A357F" w:rsidRDefault="005A357F" w:rsidP="00F472D6">
      <w:r>
        <w:t xml:space="preserve">Parametre projektu, resp. vybrané opatrenia v rámci rozsahu predmetu zákazky majú potenciál generovať dostatočné úspory na to, aby mohli byť </w:t>
      </w:r>
      <w:r w:rsidR="00FB1D20">
        <w:t xml:space="preserve">implementované na základe zmluvy o energetickej efektívnosti pre verejný sektor podľa Zákona o energetickej efektívnosti tak, aby nemali </w:t>
      </w:r>
      <w:r w:rsidR="00FB1D20" w:rsidRPr="005A357F">
        <w:t>dôsledky na výšku dlhu verejnej správy v jednotnej metodike platnej pre Európsku úniu</w:t>
      </w:r>
      <w:r w:rsidR="00FB1D20">
        <w:t xml:space="preserve">. </w:t>
      </w:r>
      <w:r w:rsidR="00E16482">
        <w:t>Niektoré</w:t>
      </w:r>
      <w:r w:rsidR="00FB1D20">
        <w:t xml:space="preserve"> budovy v rámci vybrané</w:t>
      </w:r>
      <w:r w:rsidR="00E91813">
        <w:t>ho</w:t>
      </w:r>
      <w:r w:rsidR="00FB1D20">
        <w:t xml:space="preserve"> súboru budov, ktorých rekonštrukcia je predmetom zákazky však nemajú tento potenciál sami o</w:t>
      </w:r>
      <w:r w:rsidR="005E2D3D">
        <w:t> </w:t>
      </w:r>
      <w:r w:rsidR="00FB1D20">
        <w:t>sebe</w:t>
      </w:r>
      <w:r w:rsidR="005E2D3D">
        <w:t xml:space="preserve"> a na to, aby mohla byť naplnená podstata zmluvy o energetickej efektívnosti pre verejný sektor podľa Zákona o energetickej efektívnosti (nulový vplyv na výšku dlhu verejnej správy) musia byť jednotlivé budovy ekonomicky pospájané do celku, ktorý spoločne </w:t>
      </w:r>
      <w:r w:rsidR="003D523B">
        <w:t>napĺňa potenciál generovať dostatočné úspory na to, aby tieto časti rekonštrukcie mohli byť vykonané v súlade so Zákonom o energetickej efektívnosti tak, aby nemali dôsledky na výšku dlhu verejnej správy.</w:t>
      </w:r>
    </w:p>
    <w:p w14:paraId="155590F1" w14:textId="0BBEFCA2" w:rsidR="005A6C40" w:rsidRDefault="003D523B" w:rsidP="00F472D6">
      <w:r>
        <w:t>Z toho dôvodu bol</w:t>
      </w:r>
      <w:r w:rsidR="005A6C40">
        <w:t xml:space="preserve"> súbor budov, ktoré sa naraz rekonštruujú v rámci balíka, ako je opísané v opise predmetu zákazky, skoncipovaný ako spoločný súbor pod jedno verejné obstarávanie, inak by nebolo možné naplniť podstatu Zákona o energetickej efektívnosti a nebolo by možné </w:t>
      </w:r>
      <w:r w:rsidR="005233D7">
        <w:t xml:space="preserve">uzatvoriť zmluvu v súlade s </w:t>
      </w:r>
      <w:r w:rsidR="005233D7" w:rsidRPr="005A357F">
        <w:t>metodikou na prípravu a realizáciu garantovanej energetickej služby pre verejný sektor</w:t>
      </w:r>
      <w:r w:rsidR="005233D7">
        <w:t xml:space="preserve"> podľa Zákona o energetickej efektívnosti.</w:t>
      </w:r>
    </w:p>
    <w:p w14:paraId="38EE808F" w14:textId="7C53EA8C" w:rsidR="00C3194B" w:rsidRDefault="009A1DE4" w:rsidP="00F472D6">
      <w:r>
        <w:t>Realizácia celej</w:t>
      </w:r>
      <w:r w:rsidR="00C3194B">
        <w:t xml:space="preserve"> zákazk</w:t>
      </w:r>
      <w:r>
        <w:t>y</w:t>
      </w:r>
      <w:r w:rsidR="00C3194B">
        <w:t xml:space="preserve"> </w:t>
      </w:r>
      <w:r>
        <w:t>bude zakontrahovaná</w:t>
      </w:r>
      <w:r w:rsidR="00C3194B">
        <w:t xml:space="preserve"> na základe dvoch zmlúv – jednej zmluvy o energetickej efektívnosti pre verejný sektor a jednej zmluvy o dielo.</w:t>
      </w:r>
      <w:r w:rsidR="006D0341">
        <w:t xml:space="preserve"> Jedná sa však o jeden ucelený predmet zákazky a uzatvorenie dvoch samostatných zmlúv vyplýva jedine z charakteru plnení z pohľadu možného ekonomického zaradenia </w:t>
      </w:r>
      <w:r>
        <w:t xml:space="preserve">jednotlivých opatrení </w:t>
      </w:r>
      <w:r w:rsidR="006D0341">
        <w:t xml:space="preserve">pod časť spadajúcu do verejného dlhu a časť nespadajúcu do verejného dlhu. Takéto rozdelenie zároveň predpokladá aj </w:t>
      </w:r>
      <w:r w:rsidR="001F6879">
        <w:t xml:space="preserve">platná Metodika </w:t>
      </w:r>
      <w:r w:rsidR="00252E5F">
        <w:t>pre postup a prípravu realizácií garantovaných energetických služieb vo verejnej správe vydaná Ministerstvom hospodárstva Slovenskej republiky, v ktorej sa uvádza, že ak</w:t>
      </w:r>
      <w:r w:rsidR="00252E5F" w:rsidRPr="00252E5F">
        <w:t xml:space="preserve"> subjekt verejnej správy pristúpi ku komplexnejšej obnove budovy, ktorá bude zahŕňať aj iné investície, ktorých prvoradým cieľom nebude dosiahnutie energetických </w:t>
      </w:r>
      <w:r w:rsidR="00252E5F" w:rsidRPr="00252E5F">
        <w:lastRenderedPageBreak/>
        <w:t>úspor</w:t>
      </w:r>
      <w:r w:rsidR="002F6206">
        <w:t>, t</w:t>
      </w:r>
      <w:r w:rsidR="00252E5F" w:rsidRPr="00252E5F">
        <w:t>ieto časti je potrebné zmluvne</w:t>
      </w:r>
      <w:r w:rsidR="002F6206">
        <w:t xml:space="preserve"> a účtovne</w:t>
      </w:r>
      <w:r w:rsidR="00252E5F" w:rsidRPr="00252E5F">
        <w:t xml:space="preserve"> oddeliť od zmluvy o</w:t>
      </w:r>
      <w:r w:rsidR="002F6206">
        <w:t> energetickej efektívnosti</w:t>
      </w:r>
      <w:r w:rsidR="00252E5F" w:rsidRPr="00252E5F">
        <w:t xml:space="preserve"> tak, aby bolo zrejmé, že z energetických úspor sa uhrádza iba tá časť obnovy, ktorá za týmto účelom bola primárne vybudovaná.</w:t>
      </w:r>
      <w:r w:rsidR="002F6206">
        <w:t xml:space="preserve"> Oddelenie časti opatrení, ktoré nemajú potenciál vygenerovať dostatočné množstvo úsp</w:t>
      </w:r>
      <w:bookmarkStart w:id="0" w:name="_GoBack"/>
      <w:bookmarkEnd w:id="0"/>
      <w:r w:rsidR="002F6206">
        <w:t>or, aby boli zahrnuté do zmluvy o energetickej efektívnosti</w:t>
      </w:r>
      <w:r w:rsidR="00842761">
        <w:t>,</w:t>
      </w:r>
      <w:r w:rsidR="004317CB">
        <w:t xml:space="preserve"> do samostatnej zmluvy o dielo, je teda iba formálnym oddelením pre účel riadneho vykazovania časti zmluvy o energetickej efektívnosti mimo verejný dlh v súlade s metodikou, na ktorú odkazuje zákon o energetickej efektívnosti.</w:t>
      </w:r>
    </w:p>
    <w:p w14:paraId="5AD4354E" w14:textId="45534BF3" w:rsidR="00E91813" w:rsidRPr="00650720" w:rsidRDefault="00E91813" w:rsidP="00F472D6">
      <w:r>
        <w:t>Vo vzťahu k ostatným aspektom, resp. rozsahu povinností v rámci opisu predmetu zákazky</w:t>
      </w:r>
      <w:r w:rsidR="00251334">
        <w:t xml:space="preserve"> </w:t>
      </w:r>
      <w:r w:rsidR="00B9408B">
        <w:t xml:space="preserve">(zodpovednosť za vypracovanie dokumentácie, </w:t>
      </w:r>
      <w:r w:rsidR="00765C49">
        <w:t xml:space="preserve">záruka za prevádzkyschopnosť zariadení počas celej doby trvania zmluvy, opravy a údržba a revízie zariadení počas celej doby trvania zmluvy a pod.) </w:t>
      </w:r>
      <w:r w:rsidR="00251334">
        <w:t xml:space="preserve">Verejný obstarávateľ uvádza, že tieto vychádzajú priamo zo vzorovej zmluvy o energetickej efektívnosti pre verejný sektor a platnej jednotnej metodiky </w:t>
      </w:r>
      <w:r w:rsidR="00251334" w:rsidRPr="005A357F">
        <w:t>pre Európsku úniu</w:t>
      </w:r>
      <w:r w:rsidR="00251334">
        <w:t xml:space="preserve"> a vychádza z usmernenia </w:t>
      </w:r>
      <w:proofErr w:type="spellStart"/>
      <w:r w:rsidR="00251334">
        <w:t>Eurostatu</w:t>
      </w:r>
      <w:proofErr w:type="spellEnd"/>
      <w:r w:rsidR="00251334">
        <w:t xml:space="preserve"> k</w:t>
      </w:r>
      <w:r w:rsidR="00B9408B">
        <w:t> povinným náležitostiam a parametrom zmluvy o energetickej efektívnosti pre verejný sektor.</w:t>
      </w:r>
    </w:p>
    <w:p w14:paraId="064F48FC" w14:textId="5E385D44" w:rsidR="00CC454D" w:rsidRPr="00650720" w:rsidRDefault="00783433" w:rsidP="00F472D6">
      <w:r w:rsidRPr="00650720">
        <w:t xml:space="preserve">Na úrovni samotného Predmetu zákazky teda nie je účelné žiadne hlbšie delenie zákazky, a to najmä </w:t>
      </w:r>
      <w:r w:rsidR="002674B0" w:rsidRPr="00650720">
        <w:t xml:space="preserve"> </w:t>
      </w:r>
      <w:r w:rsidR="002D2ECA" w:rsidRPr="00650720">
        <w:t>s ohľadom na:</w:t>
      </w:r>
    </w:p>
    <w:p w14:paraId="64800111" w14:textId="0D1E3DF6" w:rsidR="001640DE" w:rsidRDefault="00081708" w:rsidP="00DF60A3">
      <w:pPr>
        <w:pStyle w:val="ListParagraph"/>
        <w:numPr>
          <w:ilvl w:val="0"/>
          <w:numId w:val="3"/>
        </w:numPr>
        <w:ind w:left="1077"/>
        <w:contextualSpacing w:val="0"/>
      </w:pPr>
      <w:r w:rsidRPr="00650720">
        <w:t>u</w:t>
      </w:r>
      <w:r w:rsidR="002D2ECA" w:rsidRPr="00650720">
        <w:t>držanie záruky za výsledok – t. j. nie len dodanie samotného diela</w:t>
      </w:r>
      <w:r w:rsidR="005275B6" w:rsidRPr="00650720">
        <w:t>,</w:t>
      </w:r>
      <w:r w:rsidR="002D2ECA" w:rsidRPr="00650720">
        <w:t xml:space="preserve"> ale aj udržanie </w:t>
      </w:r>
      <w:r w:rsidR="001640DE">
        <w:t>garantovaných parametrov (najmä garantovaných úspor) počas celej doby trvania zmluvy</w:t>
      </w:r>
      <w:r w:rsidR="002D2ECA" w:rsidRPr="00650720">
        <w:t>;</w:t>
      </w:r>
      <w:r w:rsidR="005277EC" w:rsidRPr="00650720">
        <w:t xml:space="preserve"> </w:t>
      </w:r>
      <w:r w:rsidR="00DF60A3">
        <w:t xml:space="preserve">a </w:t>
      </w:r>
    </w:p>
    <w:p w14:paraId="4BF28E21" w14:textId="5C43384F" w:rsidR="00DF60A3" w:rsidRDefault="001640DE" w:rsidP="00DF60A3">
      <w:pPr>
        <w:pStyle w:val="ListParagraph"/>
        <w:numPr>
          <w:ilvl w:val="0"/>
          <w:numId w:val="3"/>
        </w:numPr>
        <w:ind w:left="1077"/>
        <w:contextualSpacing w:val="0"/>
      </w:pPr>
      <w:r>
        <w:t>ekonomické aspekty projektu a</w:t>
      </w:r>
      <w:r w:rsidR="004D4489">
        <w:t> nutnosť spojiť viaceré budovy do logicko-ekonomického celku tak, aby mohli byť rekonštrukcie vykonané s čo najvyššou mierou nákladov nemajúcich vplyv na výšku verejného dlhu v s</w:t>
      </w:r>
      <w:r w:rsidR="00DF60A3">
        <w:t>ú</w:t>
      </w:r>
      <w:r w:rsidR="004D4489">
        <w:t>lade so Zákonom o energetickej efektívnosti a platnou jednotnou metodikou pre takéto projekty</w:t>
      </w:r>
      <w:r w:rsidR="00DF60A3">
        <w:t>.</w:t>
      </w:r>
    </w:p>
    <w:p w14:paraId="7A804230" w14:textId="6C615A9C" w:rsidR="00A319D7" w:rsidRPr="00650720" w:rsidRDefault="00A319D7" w:rsidP="00A319D7"/>
    <w:sectPr w:rsidR="00A319D7" w:rsidRPr="00650720" w:rsidSect="00080CA4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775C" w14:textId="77777777" w:rsidR="0039737E" w:rsidRDefault="0039737E" w:rsidP="0039737E">
      <w:pPr>
        <w:spacing w:after="0" w:line="240" w:lineRule="auto"/>
      </w:pPr>
      <w:r>
        <w:separator/>
      </w:r>
    </w:p>
  </w:endnote>
  <w:endnote w:type="continuationSeparator" w:id="0">
    <w:p w14:paraId="3A9E5AA7" w14:textId="77777777" w:rsidR="0039737E" w:rsidRDefault="0039737E" w:rsidP="003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3915C" w14:textId="77777777" w:rsidR="0039737E" w:rsidRDefault="0039737E" w:rsidP="0039737E">
      <w:pPr>
        <w:spacing w:after="0" w:line="240" w:lineRule="auto"/>
      </w:pPr>
      <w:r>
        <w:separator/>
      </w:r>
    </w:p>
  </w:footnote>
  <w:footnote w:type="continuationSeparator" w:id="0">
    <w:p w14:paraId="5239C6E6" w14:textId="77777777" w:rsidR="0039737E" w:rsidRDefault="0039737E" w:rsidP="0039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E84B" w14:textId="5A066E3B" w:rsidR="0039737E" w:rsidRPr="0039737E" w:rsidRDefault="0039737E" w:rsidP="0039737E">
    <w:pPr>
      <w:pStyle w:val="Header"/>
      <w:rPr>
        <w:rFonts w:eastAsiaTheme="majorEastAsia" w:cstheme="majorBidi"/>
        <w:b/>
        <w:noProof/>
        <w:color w:val="000000" w:themeColor="text1"/>
        <w:spacing w:val="30"/>
      </w:rPr>
    </w:pPr>
    <w:bookmarkStart w:id="1" w:name="_Toc517419720"/>
    <w:bookmarkStart w:id="2" w:name="_Toc514419050"/>
    <w:r w:rsidRPr="0039737E">
      <w:rPr>
        <w:rFonts w:eastAsiaTheme="majorEastAsia" w:cstheme="majorBidi"/>
        <w:b/>
        <w:noProof/>
        <w:color w:val="000000" w:themeColor="text1"/>
        <w:spacing w:val="30"/>
      </w:rPr>
      <w:t>Príloha A.</w:t>
    </w:r>
    <w:r w:rsidR="00F95A65">
      <w:rPr>
        <w:rFonts w:eastAsiaTheme="majorEastAsia" w:cstheme="majorBidi"/>
        <w:b/>
        <w:noProof/>
        <w:color w:val="000000" w:themeColor="text1"/>
        <w:spacing w:val="30"/>
      </w:rPr>
      <w:t>7</w:t>
    </w:r>
    <w:r w:rsidRPr="0039737E">
      <w:rPr>
        <w:rFonts w:eastAsiaTheme="majorEastAsia" w:cstheme="majorBidi"/>
        <w:b/>
        <w:noProof/>
        <w:color w:val="000000" w:themeColor="text1"/>
        <w:spacing w:val="30"/>
      </w:rPr>
      <w:t xml:space="preserve"> Súťažných podkladov:</w:t>
    </w:r>
  </w:p>
  <w:bookmarkEnd w:id="1"/>
  <w:bookmarkEnd w:id="2"/>
  <w:p w14:paraId="46904FF3" w14:textId="23C3F02D" w:rsidR="0039737E" w:rsidRDefault="0039737E" w:rsidP="0039737E">
    <w:pPr>
      <w:pStyle w:val="Header"/>
      <w:rPr>
        <w:rFonts w:ascii="Times New Roman" w:hAnsi="Times New Roman"/>
        <w:szCs w:val="20"/>
      </w:rPr>
    </w:pPr>
    <w:r>
      <w:rPr>
        <w:rFonts w:eastAsiaTheme="majorEastAsia" w:cstheme="majorBidi"/>
        <w:b/>
        <w:noProof/>
        <w:color w:val="000000" w:themeColor="text1"/>
        <w:spacing w:val="30"/>
      </w:rPr>
      <w:t>Odôvodnenie nero</w:t>
    </w:r>
    <w:r w:rsidR="00B34A94">
      <w:rPr>
        <w:rFonts w:eastAsiaTheme="majorEastAsia" w:cstheme="majorBidi"/>
        <w:b/>
        <w:noProof/>
        <w:color w:val="000000" w:themeColor="text1"/>
        <w:spacing w:val="30"/>
      </w:rPr>
      <w:t xml:space="preserve">zdelenia zákazky </w:t>
    </w:r>
  </w:p>
  <w:p w14:paraId="7CA85233" w14:textId="77777777" w:rsidR="0039737E" w:rsidRDefault="00397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3CFD"/>
    <w:multiLevelType w:val="multilevel"/>
    <w:tmpl w:val="841CAF82"/>
    <w:styleLink w:val="TOMAS"/>
    <w:lvl w:ilvl="0">
      <w:start w:val="1"/>
      <w:numFmt w:val="upperLetter"/>
      <w:pStyle w:val="Heading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Heading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Heading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Heading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Heading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335F7CE6"/>
    <w:multiLevelType w:val="hybridMultilevel"/>
    <w:tmpl w:val="6FFE075A"/>
    <w:lvl w:ilvl="0" w:tplc="9FD09E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5">
      <w:lvl w:ilvl="5">
        <w:start w:val="1"/>
        <w:numFmt w:val="lowerLetter"/>
        <w:pStyle w:val="Heading6"/>
        <w:lvlText w:val="%6)"/>
        <w:lvlJc w:val="left"/>
        <w:pPr>
          <w:ind w:left="1134" w:hanging="425"/>
        </w:pPr>
        <w:rPr>
          <w:rFonts w:cs="Times New Roman" w:hint="default"/>
          <w:b w:val="0"/>
        </w:rPr>
      </w:lvl>
    </w:lvlOverride>
  </w:num>
  <w:num w:numId="2">
    <w:abstractNumId w:val="0"/>
    <w:lvlOverride w:ilvl="5">
      <w:lvl w:ilvl="5">
        <w:start w:val="1"/>
        <w:numFmt w:val="lowerLetter"/>
        <w:pStyle w:val="Heading6"/>
        <w:lvlText w:val="%6)"/>
        <w:lvlJc w:val="left"/>
        <w:pPr>
          <w:ind w:left="1134" w:hanging="425"/>
        </w:pPr>
        <w:rPr>
          <w:rFonts w:cs="Times New Roman" w:hint="default"/>
          <w:b w:val="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CA"/>
    <w:rsid w:val="00080CA4"/>
    <w:rsid w:val="00081708"/>
    <w:rsid w:val="0014550D"/>
    <w:rsid w:val="001640DE"/>
    <w:rsid w:val="00170F5E"/>
    <w:rsid w:val="0018226B"/>
    <w:rsid w:val="001A15A5"/>
    <w:rsid w:val="001D7C47"/>
    <w:rsid w:val="001F6879"/>
    <w:rsid w:val="002140CA"/>
    <w:rsid w:val="002218B7"/>
    <w:rsid w:val="0024597A"/>
    <w:rsid w:val="00251334"/>
    <w:rsid w:val="00252E5F"/>
    <w:rsid w:val="002674B0"/>
    <w:rsid w:val="002C64A9"/>
    <w:rsid w:val="002D2ECA"/>
    <w:rsid w:val="002F6206"/>
    <w:rsid w:val="003777EF"/>
    <w:rsid w:val="0039737E"/>
    <w:rsid w:val="003D523B"/>
    <w:rsid w:val="004317CB"/>
    <w:rsid w:val="004D0D51"/>
    <w:rsid w:val="004D4489"/>
    <w:rsid w:val="005233D7"/>
    <w:rsid w:val="005275B6"/>
    <w:rsid w:val="005277EC"/>
    <w:rsid w:val="005A357F"/>
    <w:rsid w:val="005A6C40"/>
    <w:rsid w:val="005C3C3B"/>
    <w:rsid w:val="005C60A7"/>
    <w:rsid w:val="005E2D3D"/>
    <w:rsid w:val="00650720"/>
    <w:rsid w:val="006A08E9"/>
    <w:rsid w:val="006D0341"/>
    <w:rsid w:val="00707DF8"/>
    <w:rsid w:val="0074260E"/>
    <w:rsid w:val="00765C49"/>
    <w:rsid w:val="00783433"/>
    <w:rsid w:val="007C26B7"/>
    <w:rsid w:val="00842761"/>
    <w:rsid w:val="008570D5"/>
    <w:rsid w:val="00883530"/>
    <w:rsid w:val="008F7574"/>
    <w:rsid w:val="009A1DE4"/>
    <w:rsid w:val="009B7FD8"/>
    <w:rsid w:val="00A319D7"/>
    <w:rsid w:val="00A809A3"/>
    <w:rsid w:val="00B34A94"/>
    <w:rsid w:val="00B4357F"/>
    <w:rsid w:val="00B9408B"/>
    <w:rsid w:val="00BD5833"/>
    <w:rsid w:val="00BF53F4"/>
    <w:rsid w:val="00C11FFB"/>
    <w:rsid w:val="00C3194B"/>
    <w:rsid w:val="00C64C9C"/>
    <w:rsid w:val="00C72479"/>
    <w:rsid w:val="00CC438F"/>
    <w:rsid w:val="00CC454D"/>
    <w:rsid w:val="00CD39DA"/>
    <w:rsid w:val="00D72A70"/>
    <w:rsid w:val="00DB2F49"/>
    <w:rsid w:val="00DE48A7"/>
    <w:rsid w:val="00DF60A3"/>
    <w:rsid w:val="00E16482"/>
    <w:rsid w:val="00E465D0"/>
    <w:rsid w:val="00E84FC3"/>
    <w:rsid w:val="00E91813"/>
    <w:rsid w:val="00EC2F9E"/>
    <w:rsid w:val="00F472D6"/>
    <w:rsid w:val="00F95A65"/>
    <w:rsid w:val="00FA4976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14E2"/>
  <w15:chartTrackingRefBased/>
  <w15:docId w15:val="{D1E442F3-4874-423D-9230-A08F92BB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D7"/>
    <w:pPr>
      <w:spacing w:after="120"/>
      <w:jc w:val="both"/>
    </w:pPr>
    <w:rPr>
      <w:rFonts w:ascii="Cambria" w:hAnsi="Cambria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19D7"/>
    <w:pPr>
      <w:widowControl w:val="0"/>
      <w:numPr>
        <w:numId w:val="1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Heading2">
    <w:name w:val="heading 2"/>
    <w:basedOn w:val="Subtitle"/>
    <w:next w:val="Normal"/>
    <w:link w:val="Heading2Char"/>
    <w:autoRedefine/>
    <w:uiPriority w:val="9"/>
    <w:unhideWhenUsed/>
    <w:qFormat/>
    <w:rsid w:val="00A319D7"/>
    <w:pPr>
      <w:widowControl w:val="0"/>
      <w:numPr>
        <w:numId w:val="1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Heading3">
    <w:name w:val="heading 3"/>
    <w:basedOn w:val="Subtitle"/>
    <w:next w:val="Normal"/>
    <w:link w:val="Heading3Char"/>
    <w:autoRedefine/>
    <w:uiPriority w:val="9"/>
    <w:unhideWhenUsed/>
    <w:qFormat/>
    <w:rsid w:val="00A319D7"/>
    <w:pPr>
      <w:widowControl w:val="0"/>
      <w:numPr>
        <w:ilvl w:val="2"/>
        <w:numId w:val="1"/>
      </w:numPr>
      <w:spacing w:before="240" w:after="240"/>
      <w:outlineLvl w:val="2"/>
    </w:pPr>
    <w:rPr>
      <w:rFonts w:ascii="Cambria" w:eastAsiaTheme="minorHAnsi" w:hAnsi="Cambria"/>
      <w:b/>
      <w:caps/>
      <w:color w:val="008998"/>
      <w:spacing w:val="0"/>
      <w:sz w:val="20"/>
    </w:rPr>
  </w:style>
  <w:style w:type="paragraph" w:styleId="Heading4">
    <w:name w:val="heading 4"/>
    <w:basedOn w:val="Subtitle"/>
    <w:next w:val="Normal"/>
    <w:link w:val="Heading4Char"/>
    <w:autoRedefine/>
    <w:uiPriority w:val="9"/>
    <w:unhideWhenUsed/>
    <w:qFormat/>
    <w:rsid w:val="00A319D7"/>
    <w:pPr>
      <w:widowControl w:val="0"/>
      <w:numPr>
        <w:ilvl w:val="3"/>
        <w:numId w:val="1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319D7"/>
    <w:pPr>
      <w:widowControl w:val="0"/>
      <w:numPr>
        <w:ilvl w:val="4"/>
        <w:numId w:val="1"/>
      </w:numPr>
      <w:outlineLvl w:val="4"/>
    </w:pPr>
    <w:rPr>
      <w:rFonts w:eastAsiaTheme="majorEastAsia" w:cstheme="majorBidi"/>
    </w:rPr>
  </w:style>
  <w:style w:type="paragraph" w:styleId="Heading6">
    <w:name w:val="heading 6"/>
    <w:next w:val="Normal"/>
    <w:link w:val="Heading6Char"/>
    <w:autoRedefine/>
    <w:uiPriority w:val="9"/>
    <w:unhideWhenUsed/>
    <w:qFormat/>
    <w:rsid w:val="00A319D7"/>
    <w:pPr>
      <w:widowControl w:val="0"/>
      <w:numPr>
        <w:ilvl w:val="5"/>
        <w:numId w:val="1"/>
      </w:numPr>
      <w:spacing w:after="120"/>
      <w:jc w:val="both"/>
      <w:outlineLvl w:val="5"/>
    </w:pPr>
    <w:rPr>
      <w:rFonts w:ascii="Cambria" w:eastAsiaTheme="majorEastAsia" w:hAnsi="Cambria" w:cstheme="majorBidi"/>
      <w:sz w:val="20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A319D7"/>
    <w:pPr>
      <w:widowControl w:val="0"/>
      <w:numPr>
        <w:ilvl w:val="6"/>
        <w:numId w:val="1"/>
      </w:numPr>
      <w:outlineLvl w:val="6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9D7"/>
    <w:rPr>
      <w:rFonts w:ascii="Cambria" w:eastAsiaTheme="majorEastAsia" w:hAnsi="Cambria" w:cstheme="majorBidi"/>
      <w:b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19D7"/>
    <w:rPr>
      <w:rFonts w:ascii="Cambria" w:hAnsi="Cambria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319D7"/>
    <w:rPr>
      <w:rFonts w:ascii="Cambria" w:hAnsi="Cambria"/>
      <w:b/>
      <w:caps/>
      <w:color w:val="008998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319D7"/>
    <w:rPr>
      <w:rFonts w:ascii="Cambria" w:hAnsi="Cambria" w:cs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319D7"/>
    <w:rPr>
      <w:rFonts w:ascii="Cambria" w:eastAsiaTheme="majorEastAsia" w:hAnsi="Cambria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319D7"/>
    <w:rPr>
      <w:rFonts w:ascii="Cambria" w:eastAsiaTheme="majorEastAsia" w:hAnsi="Cambria" w:cstheme="majorBidi"/>
      <w:sz w:val="20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A319D7"/>
    <w:rPr>
      <w:rFonts w:ascii="Cambria" w:eastAsiaTheme="majorEastAsia" w:hAnsi="Cambria" w:cstheme="majorBidi"/>
      <w:iCs/>
      <w:sz w:val="20"/>
    </w:rPr>
  </w:style>
  <w:style w:type="numbering" w:customStyle="1" w:styleId="TOMAS">
    <w:name w:val="TOMAS"/>
    <w:rsid w:val="00A319D7"/>
    <w:pPr>
      <w:numPr>
        <w:numId w:val="4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A319D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9D7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9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7E"/>
    <w:rPr>
      <w:rFonts w:ascii="Cambria" w:hAnsi="Cambria"/>
      <w:sz w:val="20"/>
    </w:rPr>
  </w:style>
  <w:style w:type="paragraph" w:styleId="Footer">
    <w:name w:val="footer"/>
    <w:basedOn w:val="Normal"/>
    <w:link w:val="FooterChar"/>
    <w:uiPriority w:val="99"/>
    <w:unhideWhenUsed/>
    <w:rsid w:val="0039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7E"/>
    <w:rPr>
      <w:rFonts w:ascii="Cambria" w:hAnsi="Cambria"/>
      <w:sz w:val="20"/>
    </w:rPr>
  </w:style>
  <w:style w:type="paragraph" w:styleId="ListParagraph">
    <w:name w:val="List Paragraph"/>
    <w:basedOn w:val="Normal"/>
    <w:uiPriority w:val="34"/>
    <w:qFormat/>
    <w:rsid w:val="002D2E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3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5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53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530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2019-04-30T09:32:00Z</dcterms:created>
  <dcterms:modified xsi:type="dcterms:W3CDTF">2019-07-11T08:20:00Z</dcterms:modified>
</cp:coreProperties>
</file>