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4DE5" w14:textId="77E289B2" w:rsidR="00F15562" w:rsidRDefault="00D43F12" w:rsidP="00F15562">
      <w:pPr>
        <w:spacing w:line="276" w:lineRule="auto"/>
        <w:jc w:val="center"/>
        <w:rPr>
          <w:rFonts w:ascii="Century Gothic" w:hAnsi="Century Gothic"/>
          <w:b/>
          <w:sz w:val="18"/>
          <w:szCs w:val="18"/>
          <w:u w:val="single"/>
        </w:rPr>
      </w:pPr>
      <w:r w:rsidRPr="00D43F12">
        <w:rPr>
          <w:rFonts w:ascii="Century Gothic" w:hAnsi="Century Gothic"/>
          <w:b/>
          <w:sz w:val="18"/>
          <w:szCs w:val="18"/>
          <w:u w:val="single"/>
        </w:rPr>
        <w:t>Technické podmienky</w:t>
      </w:r>
    </w:p>
    <w:p w14:paraId="3142C376" w14:textId="77777777" w:rsidR="00F15562" w:rsidRDefault="00F15562" w:rsidP="00F15562">
      <w:pPr>
        <w:spacing w:line="276" w:lineRule="auto"/>
        <w:rPr>
          <w:rFonts w:ascii="Century Gothic" w:hAnsi="Century Gothic"/>
          <w:b/>
          <w:sz w:val="18"/>
          <w:szCs w:val="18"/>
          <w:u w:val="single"/>
        </w:rPr>
      </w:pPr>
    </w:p>
    <w:p w14:paraId="6F05CCAD" w14:textId="36779B31" w:rsidR="00F15562" w:rsidRPr="00F15562" w:rsidRDefault="00F15562" w:rsidP="00F15562">
      <w:pPr>
        <w:spacing w:line="276" w:lineRule="auto"/>
        <w:jc w:val="center"/>
        <w:rPr>
          <w:rFonts w:ascii="Century Gothic" w:hAnsi="Century Gothic"/>
          <w:bCs/>
          <w:i/>
          <w:iCs/>
          <w:sz w:val="18"/>
          <w:szCs w:val="18"/>
        </w:rPr>
      </w:pPr>
      <w:r w:rsidRPr="00F15562">
        <w:rPr>
          <w:rFonts w:ascii="Century Gothic" w:hAnsi="Century Gothic"/>
          <w:bCs/>
          <w:i/>
          <w:iCs/>
          <w:sz w:val="18"/>
          <w:szCs w:val="18"/>
        </w:rPr>
        <w:t>(pozn.: Tieto technické podmienky sú uvedené ako minimálny štandard, ktorý musí byť dodržaný počas celej platnosti Zmluvy. Dopravca môže ponúknuť aj vyšší štandard, ako je tu uvedený. V prípade odkazov na konkrétne výrobky/materiály bude verejný obstarávateľ akceptovať aj ekvivalenty.)</w:t>
      </w:r>
    </w:p>
    <w:p w14:paraId="6EDA9691" w14:textId="77777777" w:rsidR="00F15562" w:rsidRPr="00D43F12" w:rsidRDefault="00F15562" w:rsidP="00F15562">
      <w:pPr>
        <w:spacing w:line="276" w:lineRule="auto"/>
        <w:rPr>
          <w:rFonts w:ascii="Century Gothic" w:hAnsi="Century Gothic"/>
          <w:b/>
          <w:sz w:val="18"/>
          <w:szCs w:val="18"/>
          <w:u w:val="single"/>
        </w:rPr>
      </w:pPr>
    </w:p>
    <w:p w14:paraId="56B43AE4" w14:textId="77777777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Denná turnusová potreba vozidiel: 4 ks kmeňové vozidlá + 1 ks výpomocné vozidlo + 1 ks záložné vozidlo.</w:t>
      </w:r>
    </w:p>
    <w:p w14:paraId="5B44110C" w14:textId="77777777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Požiadavky na vozidlový park sú nasledovné:</w:t>
      </w:r>
    </w:p>
    <w:p w14:paraId="5D4ED97E" w14:textId="353DF1CF" w:rsid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color w:val="FF0000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Všetky kmeňové vozidlá musia byť vybavené minimálne troma dverami na nástup a výstup cestujúcich a musia spĺňať homologizáciu pre SK, legislatívne podmienky pre verejnú cestnú dopravu a právnymi predpismi.</w:t>
      </w:r>
      <w:r w:rsidR="0094610A">
        <w:rPr>
          <w:rFonts w:ascii="Century Gothic" w:hAnsi="Century Gothic"/>
          <w:color w:val="FF0000"/>
          <w:sz w:val="18"/>
          <w:szCs w:val="18"/>
        </w:rPr>
        <w:t xml:space="preserve"> </w:t>
      </w:r>
    </w:p>
    <w:p w14:paraId="251D14D3" w14:textId="0D8B54B9" w:rsidR="000C6673" w:rsidRPr="007C070E" w:rsidRDefault="000C6673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Všetky kmeňové vozidlá musia mať jednotnú farebnosť</w:t>
      </w:r>
      <w:r w:rsidR="007C070E" w:rsidRPr="007C070E">
        <w:rPr>
          <w:rFonts w:ascii="Century Gothic" w:hAnsi="Century Gothic"/>
          <w:sz w:val="18"/>
          <w:szCs w:val="18"/>
        </w:rPr>
        <w:t xml:space="preserve"> a počas trvania kontraktu nesmú byť staršie ako 16 rokov</w:t>
      </w:r>
      <w:r w:rsidRPr="007C070E">
        <w:rPr>
          <w:rFonts w:ascii="Century Gothic" w:hAnsi="Century Gothic"/>
          <w:sz w:val="18"/>
          <w:szCs w:val="18"/>
        </w:rPr>
        <w:t>.</w:t>
      </w:r>
    </w:p>
    <w:p w14:paraId="34FA9256" w14:textId="77777777" w:rsidR="00D43F12" w:rsidRPr="007C070E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Štandardná výbava vozidiel:</w:t>
      </w:r>
    </w:p>
    <w:p w14:paraId="0BCCC5BC" w14:textId="1E63A546" w:rsidR="00D43F12" w:rsidRPr="007C070E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KAROSÉRIA – obloženie podlahy PVC krytinou</w:t>
      </w:r>
      <w:r w:rsidR="0094610A" w:rsidRPr="007C070E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94610A" w:rsidRPr="007C070E">
        <w:rPr>
          <w:rFonts w:ascii="Century Gothic" w:hAnsi="Century Gothic"/>
          <w:sz w:val="18"/>
          <w:szCs w:val="18"/>
        </w:rPr>
        <w:t>resp</w:t>
      </w:r>
      <w:proofErr w:type="spellEnd"/>
      <w:r w:rsidR="0094610A" w:rsidRPr="007C070E">
        <w:rPr>
          <w:rFonts w:ascii="Century Gothic" w:hAnsi="Century Gothic"/>
          <w:sz w:val="18"/>
          <w:szCs w:val="18"/>
        </w:rPr>
        <w:t xml:space="preserve"> iným </w:t>
      </w:r>
      <w:proofErr w:type="spellStart"/>
      <w:r w:rsidR="0094610A" w:rsidRPr="007C070E">
        <w:rPr>
          <w:rFonts w:ascii="Century Gothic" w:hAnsi="Century Gothic"/>
          <w:sz w:val="18"/>
          <w:szCs w:val="18"/>
        </w:rPr>
        <w:t>oderuvzdorným</w:t>
      </w:r>
      <w:proofErr w:type="spellEnd"/>
      <w:r w:rsidR="0094610A" w:rsidRPr="007C070E">
        <w:rPr>
          <w:rFonts w:ascii="Century Gothic" w:hAnsi="Century Gothic"/>
          <w:sz w:val="18"/>
          <w:szCs w:val="18"/>
        </w:rPr>
        <w:t xml:space="preserve"> a umývateľným materiálom</w:t>
      </w:r>
      <w:r w:rsidRPr="007C070E">
        <w:rPr>
          <w:rFonts w:ascii="Century Gothic" w:hAnsi="Century Gothic"/>
          <w:sz w:val="18"/>
          <w:szCs w:val="18"/>
        </w:rPr>
        <w:t>. Boky obložené umakartovými panelmi</w:t>
      </w:r>
      <w:r w:rsidR="0094610A" w:rsidRPr="007C070E">
        <w:rPr>
          <w:rFonts w:ascii="Century Gothic" w:hAnsi="Century Gothic"/>
          <w:sz w:val="18"/>
          <w:szCs w:val="18"/>
        </w:rPr>
        <w:t xml:space="preserve"> </w:t>
      </w:r>
      <w:r w:rsidR="000C6673" w:rsidRPr="007C070E">
        <w:rPr>
          <w:rFonts w:ascii="Century Gothic" w:hAnsi="Century Gothic"/>
          <w:sz w:val="18"/>
          <w:szCs w:val="18"/>
        </w:rPr>
        <w:t>alebo ekvivalentným</w:t>
      </w:r>
      <w:r w:rsidR="0094610A" w:rsidRPr="007C070E">
        <w:rPr>
          <w:rFonts w:ascii="Century Gothic" w:hAnsi="Century Gothic"/>
          <w:sz w:val="18"/>
          <w:szCs w:val="18"/>
        </w:rPr>
        <w:t xml:space="preserve"> materiálom</w:t>
      </w:r>
      <w:r w:rsidRPr="007C070E">
        <w:rPr>
          <w:rFonts w:ascii="Century Gothic" w:hAnsi="Century Gothic"/>
          <w:sz w:val="18"/>
          <w:szCs w:val="18"/>
        </w:rPr>
        <w:t>. Osvetlenie priestoru vodiča a priestoru pre cestujúcich. Sedadlá mestské alebo medzimestské nepolohovateľné potiahnuté látkou. Prídržné tyče pre cestujúcich. Signalizačné tlačidlá „STOP“ pre cestujúcich z dôvodu zastavenia vozidla na autobusovej zastávke. Hasiace prístroje, bezpečnostné kladivká, lekárnička a zakladacie kliny. Všetky okná  jednoduché s posuvným prípadne výklopným vetraním. Vykurovanie priestoru pre cestujúcich výhrevnými telesami s rozvodom teplého vzduchu v celom vozidle. Nezávislé kúrenie.</w:t>
      </w:r>
    </w:p>
    <w:p w14:paraId="49CA84A1" w14:textId="77777777" w:rsidR="00D43F12" w:rsidRPr="007C070E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Sedadlo vodiča nastaviteľné, vzduchom odpružené. Predná a bočná slnečná clona. Elektronická pokladňa na vybavovanie cestujúcich.</w:t>
      </w:r>
    </w:p>
    <w:p w14:paraId="794EEB54" w14:textId="425EFD6E" w:rsidR="00D43F12" w:rsidRPr="007C070E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MOTOR – naftový motor</w:t>
      </w:r>
      <w:r w:rsidR="000C6673" w:rsidRPr="007C070E">
        <w:rPr>
          <w:rFonts w:ascii="Century Gothic" w:hAnsi="Century Gothic"/>
          <w:sz w:val="18"/>
          <w:szCs w:val="18"/>
        </w:rPr>
        <w:t>, prípustný je aj pohon na CNG, elektro alebo kombinácia</w:t>
      </w:r>
      <w:r w:rsidRPr="007C070E">
        <w:rPr>
          <w:rFonts w:ascii="Century Gothic" w:hAnsi="Century Gothic"/>
          <w:sz w:val="18"/>
          <w:szCs w:val="18"/>
        </w:rPr>
        <w:t xml:space="preserve">. </w:t>
      </w:r>
    </w:p>
    <w:p w14:paraId="63A6E35C" w14:textId="77777777" w:rsidR="00D43F12" w:rsidRPr="007C070E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BRZDY – pneumatická parkovacia brzda s účinkom na zadné kolesá. </w:t>
      </w:r>
    </w:p>
    <w:p w14:paraId="146D255A" w14:textId="77777777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PNEUMATIKY – musia spĺňať ustanovenie zákona č. 8/2009 Z. z. o cestnej premávke a o zmene a doplnení niektorých zákonov v znení neskorších predpisov a zákona č. 106/2018 Z. z. o prevádzke vozidiel v cestnej premávke a o zmene a doplnení niektorých zákonov v znení neskorších predpisov.</w:t>
      </w:r>
    </w:p>
    <w:p w14:paraId="3A3EBADF" w14:textId="77777777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BEZPEČNOSTNĚ PRVKY – musia byť konštruované tak, aby v prípade poruchy signalizovali vodičovi nebezpečný stav. Zaistenie vozidla proti neoprávnenému použitiu podľa predpisov platných v SR. Predné dvere musia byť uzamykateľné, ostatné dvere s možnosťou zaistenia zvnútra bez kľúča s ochranou proti neoprávnenej manipulácii.</w:t>
      </w:r>
    </w:p>
    <w:p w14:paraId="1393DA4D" w14:textId="77777777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TECHNICKÝ STAV VOZIDIEL – autobusy zabezpečujúce mestskú dopravu musia spĺňať homologizáciu pre SR a ostatné legislatívne podmienky pre verejnú cestnú dopravu. Musia byť v dobrom technickom stave a musia spĺňať všetky zákonom stanovené normy. Vozidlá musia spĺňať všetky parametre stanovené výrobcom, čo sa týka hluku, vibrácií a podobne.</w:t>
      </w:r>
    </w:p>
    <w:p w14:paraId="2A2A74EB" w14:textId="77777777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 xml:space="preserve">NÍZKOPODLAŽNÉ VOZIDLÁ – zabezpečiť 50 % podiel </w:t>
      </w:r>
      <w:proofErr w:type="spellStart"/>
      <w:r w:rsidRPr="00D43F12">
        <w:rPr>
          <w:rFonts w:ascii="Century Gothic" w:hAnsi="Century Gothic"/>
          <w:sz w:val="18"/>
          <w:szCs w:val="18"/>
        </w:rPr>
        <w:t>nízkopodlažných</w:t>
      </w:r>
      <w:proofErr w:type="spellEnd"/>
      <w:r w:rsidRPr="00D43F12">
        <w:rPr>
          <w:rFonts w:ascii="Century Gothic" w:hAnsi="Century Gothic"/>
          <w:sz w:val="18"/>
          <w:szCs w:val="18"/>
        </w:rPr>
        <w:t xml:space="preserve"> kmeňových vozidiel, ktorými bude zabezpečovať minimálne 65 % </w:t>
      </w:r>
      <w:proofErr w:type="spellStart"/>
      <w:r w:rsidRPr="00D43F12">
        <w:rPr>
          <w:rFonts w:ascii="Century Gothic" w:hAnsi="Century Gothic"/>
          <w:sz w:val="18"/>
          <w:szCs w:val="18"/>
        </w:rPr>
        <w:t>kilometrických</w:t>
      </w:r>
      <w:proofErr w:type="spellEnd"/>
      <w:r w:rsidRPr="00D43F12">
        <w:rPr>
          <w:rFonts w:ascii="Century Gothic" w:hAnsi="Century Gothic"/>
          <w:sz w:val="18"/>
          <w:szCs w:val="18"/>
        </w:rPr>
        <w:t xml:space="preserve"> výkonov. Navrhovateľ je povinný počas celej doby plnenia predmetu Zmluvy dodržať predpísaný podiel </w:t>
      </w:r>
      <w:proofErr w:type="spellStart"/>
      <w:r w:rsidRPr="00D43F12">
        <w:rPr>
          <w:rFonts w:ascii="Century Gothic" w:hAnsi="Century Gothic"/>
          <w:sz w:val="18"/>
          <w:szCs w:val="18"/>
        </w:rPr>
        <w:t>nizkopodlažných</w:t>
      </w:r>
      <w:proofErr w:type="spellEnd"/>
      <w:r w:rsidRPr="00D43F12">
        <w:rPr>
          <w:rFonts w:ascii="Century Gothic" w:hAnsi="Century Gothic"/>
          <w:sz w:val="18"/>
          <w:szCs w:val="18"/>
        </w:rPr>
        <w:t xml:space="preserve"> vozidiel.</w:t>
      </w:r>
    </w:p>
    <w:p w14:paraId="39D43702" w14:textId="51D8EDA3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 xml:space="preserve">VYBAVENIE ELEKTRONICKOU TABUĽOU – </w:t>
      </w:r>
      <w:r w:rsidR="00A40C6E" w:rsidRPr="00AE4DEF">
        <w:rPr>
          <w:rFonts w:ascii="Century Gothic" w:hAnsi="Century Gothic"/>
          <w:sz w:val="18"/>
          <w:szCs w:val="18"/>
        </w:rPr>
        <w:t xml:space="preserve">každé kmeňové vozidlo musí byť vybavené </w:t>
      </w:r>
      <w:r w:rsidRPr="00AE4DEF">
        <w:rPr>
          <w:rFonts w:ascii="Century Gothic" w:hAnsi="Century Gothic"/>
          <w:sz w:val="18"/>
          <w:szCs w:val="18"/>
        </w:rPr>
        <w:t>elektronickou</w:t>
      </w:r>
      <w:r w:rsidRPr="00D43F12">
        <w:rPr>
          <w:rFonts w:ascii="Century Gothic" w:hAnsi="Century Gothic"/>
          <w:sz w:val="18"/>
          <w:szCs w:val="18"/>
        </w:rPr>
        <w:t xml:space="preserve"> tabuľou počas celej doby poskytovania plnenia predmetu Zmluvy</w:t>
      </w:r>
      <w:r w:rsidR="00A40C6E">
        <w:rPr>
          <w:rFonts w:ascii="Century Gothic" w:hAnsi="Century Gothic"/>
          <w:sz w:val="18"/>
          <w:szCs w:val="18"/>
        </w:rPr>
        <w:t xml:space="preserve">. Všetky kmeňové vozidlá musia poskytovať cestujúcim prístup na </w:t>
      </w:r>
      <w:proofErr w:type="spellStart"/>
      <w:r w:rsidRPr="00D43F12">
        <w:rPr>
          <w:rFonts w:ascii="Century Gothic" w:hAnsi="Century Gothic"/>
          <w:sz w:val="18"/>
          <w:szCs w:val="18"/>
        </w:rPr>
        <w:t>Wifi</w:t>
      </w:r>
      <w:proofErr w:type="spellEnd"/>
      <w:r w:rsidRPr="00D43F12">
        <w:rPr>
          <w:rFonts w:ascii="Century Gothic" w:hAnsi="Century Gothic"/>
          <w:sz w:val="18"/>
          <w:szCs w:val="18"/>
        </w:rPr>
        <w:t xml:space="preserve"> bezplatne, počas celej doby plnenia predmetu Zmluvy. Každé vozidlo musí byť vybavené monitorovacím zariadením na báze GPS ku dňu účinnosti Zmluvy ako aj počas celej doby plnenia predmetu Zmluvy.</w:t>
      </w:r>
    </w:p>
    <w:p w14:paraId="1D4F2730" w14:textId="1461C135" w:rsidR="00D43F12" w:rsidRPr="00D43F12" w:rsidRDefault="00D43F12" w:rsidP="00D43F12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D43F12">
        <w:rPr>
          <w:rFonts w:ascii="Century Gothic" w:hAnsi="Century Gothic"/>
          <w:sz w:val="18"/>
          <w:szCs w:val="18"/>
        </w:rPr>
        <w:t>PRIPRAVENOSŤ PERSON</w:t>
      </w:r>
      <w:r w:rsidR="00BF6114">
        <w:rPr>
          <w:rFonts w:ascii="Century Gothic" w:hAnsi="Century Gothic"/>
          <w:sz w:val="18"/>
          <w:szCs w:val="18"/>
        </w:rPr>
        <w:t>Á</w:t>
      </w:r>
      <w:r w:rsidRPr="00D43F12">
        <w:rPr>
          <w:rFonts w:ascii="Century Gothic" w:hAnsi="Century Gothic"/>
          <w:sz w:val="18"/>
          <w:szCs w:val="18"/>
        </w:rPr>
        <w:t>LU – ku dňu účinnosti Zmluvy budú všetci vodiči MHD disponovať platnou kvalifikačnou kartou vodiča (Ďalej len „KKV“) podľa zákona č. 280/2006 Z. z. o povinnej základnej kvalifikácii a pravidelnom výcviku niektorých vodičov v znení neskorších predpisov.</w:t>
      </w:r>
    </w:p>
    <w:p w14:paraId="0CDAFD76" w14:textId="77777777" w:rsidR="00F86832" w:rsidRDefault="00F86832">
      <w:pPr>
        <w:rPr>
          <w:rFonts w:ascii="Century Gothic" w:hAnsi="Century Gothic"/>
          <w:sz w:val="18"/>
          <w:szCs w:val="18"/>
        </w:rPr>
      </w:pPr>
    </w:p>
    <w:p w14:paraId="78B3A9EE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lastRenderedPageBreak/>
        <w:t>Dopravca je povinný zabezpečiť všetky spoje v celej dĺžke, ktoré má podľa platného cestovného poriadku vykonať. Všetky spoje musia byť prevádzkované výlučne na trase stanovenej aktuálnym cestovným poriadkom a musia obslúžiť všetky stanovené zastávky v správnom poradí. Dopravca nesmie bez objektívnej príčiny skrátiť alebo zmeniť trasu spoja, ako aj zmeniť časy odchodov a príchodov zo zastávok. Vozidlo MHD, ktoré bude mať prejazd z konečnej zastávky na začiatočnú zastávku linky v rámci zabezpečenia spoja bude vozidlo vedené pod výkonovými kilometrami. V prípade prejazdu vozidla MHD z konečnej zastávky do depa a opačne nejde o výkonové kilometre.</w:t>
      </w:r>
    </w:p>
    <w:p w14:paraId="34D65F3A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Presnosť dodržiavania cestovných poriadkov</w:t>
      </w:r>
    </w:p>
    <w:p w14:paraId="454E9CB0" w14:textId="41E80521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Dopravca je povinný zabezpečiť, aby všetky spoje zo zastávok odišli presne podľa platného cestovného poriadku. Pod presnou prevádzkou sa rozumie taká, pri ktorej spoje v sledovaných obdobiach dodržiavajú presné, pri odchode zo začiatočných alebo z nácestných zastávok, časové údaje, uvedené v cestovných poriadkoch, prípadne s dovolenou časovou odchýlkou. Skorší odchod vozidla zo zastávky, ako je uvedené v cestovnom poriadku, nie je povolený. Tolerovaná časová odchýlka odchodu zo začiatočnej zastávky s časovými údajmi v cestovnom poriadku je 0 minút (tolerancia +0:00 až 0:59 min). </w:t>
      </w:r>
    </w:p>
    <w:p w14:paraId="5B5D1A48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</w:p>
    <w:p w14:paraId="73DDEA0B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Záznam o prevádzke vozidla </w:t>
      </w:r>
    </w:p>
    <w:p w14:paraId="2368AD98" w14:textId="1DC6164C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Každé vozidlo prevádzkované na linkách v rámci MHD, musí byť vybavené záznamom o prevádzke vozidla, ktoré musí obsahovať minimálne nasledovné údaje: </w:t>
      </w:r>
    </w:p>
    <w:p w14:paraId="01D874F7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● meno vodiča (vodičov), </w:t>
      </w:r>
    </w:p>
    <w:p w14:paraId="680BEBEA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● obchodný názov dopravcu, </w:t>
      </w:r>
    </w:p>
    <w:p w14:paraId="2C665517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● evidenčné číslo, alebo registračnú značku vozidla, </w:t>
      </w:r>
    </w:p>
    <w:p w14:paraId="6CDB1F1B" w14:textId="1C8AAC2B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● linku a poradové  číslo vozidla, </w:t>
      </w:r>
    </w:p>
    <w:p w14:paraId="2D454127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● časy nástupu a ukončenia služby vodiča, alebo odchodu a príchodu vozidla do vozovne, alebo garáží, </w:t>
      </w:r>
    </w:p>
    <w:p w14:paraId="54E12FD6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 xml:space="preserve">● všetky meškania a mimoriadnosti v doprave. </w:t>
      </w:r>
    </w:p>
    <w:p w14:paraId="5DF50732" w14:textId="77777777" w:rsidR="000C6673" w:rsidRPr="007C070E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</w:p>
    <w:p w14:paraId="22093B50" w14:textId="3BA60D92" w:rsidR="000C6673" w:rsidRPr="0070679B" w:rsidRDefault="000C6673" w:rsidP="000C6673">
      <w:pPr>
        <w:spacing w:before="120" w:line="276" w:lineRule="auto"/>
        <w:jc w:val="both"/>
        <w:outlineLvl w:val="0"/>
        <w:rPr>
          <w:rFonts w:ascii="Century Gothic" w:hAnsi="Century Gothic"/>
          <w:sz w:val="18"/>
          <w:szCs w:val="18"/>
        </w:rPr>
      </w:pPr>
      <w:r w:rsidRPr="007C070E">
        <w:rPr>
          <w:rFonts w:ascii="Century Gothic" w:hAnsi="Century Gothic"/>
          <w:sz w:val="18"/>
          <w:szCs w:val="18"/>
        </w:rPr>
        <w:t>Všetky údaje je vodič povinný vyplniť pravdivo a včas. Záznam o prevádzke vozidla je vodič povinný na požiadanie predložiť oprávnenému pracovníkovi Mesta na kontrolu. Dopravca je povinný počas obdobia minimálne dvoch rokov všetky záznamy o prevádzke vozidla archivovať a v prípade potreby poskytnúť na kontrolu objednávateľovi. Okrem záznamu o prevádzke vozidla je možné získavať údaje o prevádzke vozidla aj z palubných počítačov vozidiel. Každý vodič (autobus), musí byť vybavený platným cestovným poriadkom, prípadne služobným cestovným poriadkom. Dopravca je povinný zabezpečiť, aby vodiči dodržiavali všetky pokyny uvedené v služobnom cestovnom poriadku.</w:t>
      </w:r>
    </w:p>
    <w:sectPr w:rsidR="000C6673" w:rsidRPr="007067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C30A0" w14:textId="77777777" w:rsidR="00397143" w:rsidRDefault="00397143" w:rsidP="00D43F12">
      <w:r>
        <w:separator/>
      </w:r>
    </w:p>
  </w:endnote>
  <w:endnote w:type="continuationSeparator" w:id="0">
    <w:p w14:paraId="39FA51A6" w14:textId="77777777" w:rsidR="00397143" w:rsidRDefault="00397143" w:rsidP="00D4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B5310" w14:textId="77777777" w:rsidR="00397143" w:rsidRDefault="00397143" w:rsidP="00D43F12">
      <w:r>
        <w:separator/>
      </w:r>
    </w:p>
  </w:footnote>
  <w:footnote w:type="continuationSeparator" w:id="0">
    <w:p w14:paraId="7DCB68EC" w14:textId="77777777" w:rsidR="00397143" w:rsidRDefault="00397143" w:rsidP="00D4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12A5" w14:textId="521D9CF2" w:rsidR="00D43F12" w:rsidRPr="00D43F12" w:rsidRDefault="00D43F12">
    <w:pPr>
      <w:pStyle w:val="Hlavika"/>
      <w:rPr>
        <w:rFonts w:ascii="Century Gothic" w:hAnsi="Century Gothic"/>
        <w:sz w:val="18"/>
        <w:szCs w:val="18"/>
      </w:rPr>
    </w:pPr>
    <w:r w:rsidRPr="00D43F12">
      <w:rPr>
        <w:rFonts w:ascii="Century Gothic" w:hAnsi="Century Gothic"/>
        <w:sz w:val="18"/>
        <w:szCs w:val="18"/>
      </w:rPr>
      <w:t xml:space="preserve">Príloha č. </w:t>
    </w:r>
    <w:r w:rsidR="00F15562">
      <w:rPr>
        <w:rFonts w:ascii="Century Gothic" w:hAnsi="Century Gothic"/>
        <w:sz w:val="18"/>
        <w:szCs w:val="18"/>
      </w:rPr>
      <w:t>4</w:t>
    </w:r>
    <w:r w:rsidRPr="00D43F12">
      <w:rPr>
        <w:rFonts w:ascii="Century Gothic" w:hAnsi="Century Gothic"/>
        <w:sz w:val="18"/>
        <w:szCs w:val="18"/>
      </w:rPr>
      <w:t xml:space="preserve"> Zmluvy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9B"/>
    <w:rsid w:val="000C6673"/>
    <w:rsid w:val="002A4381"/>
    <w:rsid w:val="00397143"/>
    <w:rsid w:val="00397F9B"/>
    <w:rsid w:val="006D2510"/>
    <w:rsid w:val="0070679B"/>
    <w:rsid w:val="007C070E"/>
    <w:rsid w:val="0094610A"/>
    <w:rsid w:val="009E6D5B"/>
    <w:rsid w:val="00A40C6E"/>
    <w:rsid w:val="00AA399E"/>
    <w:rsid w:val="00AE4DEF"/>
    <w:rsid w:val="00B979ED"/>
    <w:rsid w:val="00BF6114"/>
    <w:rsid w:val="00D43F12"/>
    <w:rsid w:val="00F15562"/>
    <w:rsid w:val="00F86832"/>
    <w:rsid w:val="00FB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AAA4"/>
  <w15:chartTrackingRefBased/>
  <w15:docId w15:val="{F51B8FCB-34C8-460E-90E6-8456FDEF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3F1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43F1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43F12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D43F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3F12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D43F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43F1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43F12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3F1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3F12"/>
    <w:rPr>
      <w:rFonts w:ascii="Times New Roman" w:eastAsia="Times New Roman" w:hAnsi="Times New Roman" w:cs="Times New Roman"/>
      <w:b/>
      <w:bCs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904</Words>
  <Characters>5159</Characters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2023-11-06T16:01:00Z</dcterms:created>
  <dcterms:modified xsi:type="dcterms:W3CDTF">2023-11-06T19:47:00Z</dcterms:modified>
</cp:coreProperties>
</file>