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564A04">
        <w:rPr>
          <w:rFonts w:ascii="Calibri" w:hAnsi="Calibri" w:cs="Calibri"/>
          <w:b/>
          <w:bCs/>
          <w:color w:val="auto"/>
          <w:sz w:val="28"/>
          <w:szCs w:val="28"/>
          <w:lang w:val="sk-SK"/>
        </w:rPr>
        <w:t>8</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2019</w:t>
      </w:r>
      <w:r w:rsidR="008342F2">
        <w:rPr>
          <w:rFonts w:ascii="Calibri" w:eastAsia="Arial" w:hAnsi="Calibri"/>
          <w:b/>
        </w:rPr>
        <w:t>/20</w:t>
      </w:r>
      <w:r w:rsidR="00A945AB">
        <w:rPr>
          <w:rFonts w:ascii="Calibri" w:eastAsia="Arial" w:hAnsi="Calibri"/>
          <w:b/>
        </w:rPr>
        <w:t>20</w:t>
      </w:r>
      <w:r w:rsidR="00C62E7F">
        <w:rPr>
          <w:rFonts w:ascii="Calibri" w:eastAsia="Arial" w:hAnsi="Calibri"/>
          <w:b/>
        </w:rPr>
        <w:t xml:space="preserve"> pre oblasť „Stred</w:t>
      </w:r>
      <w:r w:rsidR="008342F2">
        <w:rPr>
          <w:rFonts w:ascii="Calibri" w:eastAsia="Arial" w:hAnsi="Calibri"/>
          <w:b/>
        </w:rPr>
        <w:t xml:space="preserve">“ – výzva č. </w:t>
      </w:r>
      <w:r w:rsidR="00564A04">
        <w:rPr>
          <w:rFonts w:ascii="Calibri" w:eastAsia="Arial" w:hAnsi="Calibri"/>
          <w:b/>
        </w:rPr>
        <w:t>8</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 xml:space="preserve">Mgr. Nikoleta </w:t>
      </w:r>
      <w:proofErr w:type="spellStart"/>
      <w:r>
        <w:rPr>
          <w:rFonts w:ascii="Calibri" w:hAnsi="Calibri" w:cs="Calibri"/>
          <w:sz w:val="22"/>
          <w:szCs w:val="22"/>
          <w:lang w:eastAsia="cs-CZ"/>
        </w:rPr>
        <w:t>Oktavcová</w:t>
      </w:r>
      <w:proofErr w:type="spellEnd"/>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proofErr w:type="spellStart"/>
      <w:r w:rsidR="00564A04">
        <w:rPr>
          <w:rFonts w:ascii="Calibri" w:hAnsi="Calibri" w:cs="Calibri"/>
          <w:sz w:val="22"/>
          <w:szCs w:val="22"/>
        </w:rPr>
        <w:t>spetember</w:t>
      </w:r>
      <w:proofErr w:type="spellEnd"/>
      <w:r w:rsidR="00A945AB">
        <w:rPr>
          <w:rFonts w:ascii="Calibri" w:hAnsi="Calibri" w:cs="Calibri"/>
          <w:sz w:val="22"/>
          <w:szCs w:val="22"/>
        </w:rPr>
        <w:t xml:space="preserve"> 2019</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w:t>
      </w:r>
      <w:proofErr w:type="spellStart"/>
      <w:r>
        <w:rPr>
          <w:rFonts w:ascii="Calibri" w:hAnsi="Calibri" w:cs="Calibri"/>
          <w:sz w:val="22"/>
          <w:szCs w:val="22"/>
        </w:rPr>
        <w:t>Oktavcová</w:t>
      </w:r>
      <w:proofErr w:type="spellEnd"/>
      <w:r>
        <w:rPr>
          <w:rFonts w:ascii="Calibri" w:hAnsi="Calibri" w:cs="Calibri"/>
          <w:sz w:val="22"/>
          <w:szCs w:val="22"/>
        </w:rPr>
        <w:t>,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C62E7F" w:rsidRPr="00C62E7F">
        <w:rPr>
          <w:rFonts w:ascii="Calibri" w:hAnsi="Calibri" w:cs="Cambria"/>
          <w:sz w:val="22"/>
          <w:szCs w:val="22"/>
        </w:rPr>
        <w:t xml:space="preserve">3 680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564A04">
        <w:rPr>
          <w:rFonts w:ascii="Calibri" w:hAnsi="Calibri" w:cs="Calibri"/>
          <w:b/>
          <w:sz w:val="22"/>
          <w:szCs w:val="22"/>
        </w:rPr>
        <w:t>235 52</w:t>
      </w:r>
      <w:r w:rsidR="00C62E7F" w:rsidRPr="00C62E7F">
        <w:rPr>
          <w:rFonts w:ascii="Calibri" w:hAnsi="Calibri" w:cs="Calibri"/>
          <w:b/>
          <w:sz w:val="22"/>
          <w:szCs w:val="22"/>
        </w:rPr>
        <w:t>0,00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bookmarkStart w:id="5" w:name="_GoBack"/>
      <w:bookmarkEnd w:id="5"/>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6" w:name="_Toc488059675"/>
      <w:r w:rsidRPr="00BC1F8D">
        <w:rPr>
          <w:rFonts w:ascii="Calibri" w:hAnsi="Calibri"/>
          <w:b/>
        </w:rPr>
        <w:t>Jazyk ponuky</w:t>
      </w:r>
      <w:bookmarkEnd w:id="6"/>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6"/>
      <w:r w:rsidRPr="00BC1F8D">
        <w:rPr>
          <w:rFonts w:ascii="Calibri" w:hAnsi="Calibri"/>
          <w:b/>
        </w:rPr>
        <w:t>Predkladanie a obsah ponuky</w:t>
      </w:r>
      <w:bookmarkEnd w:id="7"/>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8" w:name="_Toc488059677"/>
      <w:r w:rsidRPr="00BC1F8D">
        <w:rPr>
          <w:rFonts w:ascii="Calibri" w:hAnsi="Calibri"/>
          <w:b/>
        </w:rPr>
        <w:t>Lehota na predkladanie ponúk</w:t>
      </w:r>
      <w:bookmarkEnd w:id="8"/>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DF331B" w:rsidRPr="00DF331B">
        <w:rPr>
          <w:rFonts w:ascii="Calibri" w:hAnsi="Calibri"/>
          <w:b/>
          <w:sz w:val="22"/>
          <w:szCs w:val="22"/>
        </w:rPr>
        <w:t>03</w:t>
      </w:r>
      <w:r w:rsidR="002E27FF" w:rsidRPr="00DF331B">
        <w:rPr>
          <w:rFonts w:ascii="Calibri" w:hAnsi="Calibri"/>
          <w:b/>
          <w:sz w:val="22"/>
          <w:szCs w:val="22"/>
        </w:rPr>
        <w:t>.</w:t>
      </w:r>
      <w:r w:rsidR="00DF331B" w:rsidRPr="00DF331B">
        <w:rPr>
          <w:rFonts w:ascii="Calibri" w:hAnsi="Calibri"/>
          <w:b/>
          <w:sz w:val="22"/>
          <w:szCs w:val="22"/>
        </w:rPr>
        <w:t>09</w:t>
      </w:r>
      <w:r w:rsidR="002E27FF" w:rsidRPr="00DF331B">
        <w:rPr>
          <w:rFonts w:ascii="Calibri" w:hAnsi="Calibri"/>
          <w:b/>
          <w:sz w:val="22"/>
          <w:szCs w:val="22"/>
        </w:rPr>
        <w:t>.201</w:t>
      </w:r>
      <w:r w:rsidR="004035F6" w:rsidRPr="00DF331B">
        <w:rPr>
          <w:rFonts w:ascii="Calibri" w:hAnsi="Calibri"/>
          <w:b/>
          <w:sz w:val="22"/>
          <w:szCs w:val="22"/>
        </w:rPr>
        <w:t>9</w:t>
      </w:r>
      <w:r w:rsidR="00AF0849" w:rsidRPr="00DF331B">
        <w:rPr>
          <w:rFonts w:ascii="Calibri" w:hAnsi="Calibri"/>
          <w:b/>
          <w:sz w:val="22"/>
          <w:szCs w:val="22"/>
        </w:rPr>
        <w:t xml:space="preserve"> do </w:t>
      </w:r>
      <w:r w:rsidR="00903EE5">
        <w:rPr>
          <w:rFonts w:ascii="Calibri" w:hAnsi="Calibri"/>
          <w:b/>
          <w:sz w:val="22"/>
          <w:szCs w:val="22"/>
        </w:rPr>
        <w:t>11</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9" w:name="_Toc488059679"/>
      <w:bookmarkStart w:id="10" w:name="_Toc488059687"/>
      <w:r w:rsidR="00BC1F8D" w:rsidRPr="00BC1F8D">
        <w:rPr>
          <w:rFonts w:ascii="Calibri" w:hAnsi="Calibri"/>
          <w:b/>
        </w:rPr>
        <w:t>Zábezpeka ponuky</w:t>
      </w:r>
      <w:bookmarkEnd w:id="9"/>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1" w:name="_Toc488059680"/>
      <w:r w:rsidRPr="00BC1F8D">
        <w:rPr>
          <w:rFonts w:ascii="Calibri" w:hAnsi="Calibri"/>
          <w:b/>
        </w:rPr>
        <w:t>Doplnenie, zmena a odvolanie ponuky</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2" w:name="_Toc488059681"/>
      <w:r w:rsidRPr="001306FE">
        <w:rPr>
          <w:rFonts w:ascii="Calibri" w:hAnsi="Calibri"/>
          <w:b/>
          <w:szCs w:val="22"/>
        </w:rPr>
        <w:t>Náklady na ponuku</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2"/>
      <w:r w:rsidRPr="001306FE">
        <w:rPr>
          <w:rFonts w:ascii="Calibri" w:hAnsi="Calibri"/>
          <w:b/>
          <w:szCs w:val="22"/>
        </w:rPr>
        <w:t>Variantné riešenie</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4" w:name="_Toc488059683"/>
      <w:r w:rsidRPr="001306FE">
        <w:rPr>
          <w:rFonts w:ascii="Calibri" w:hAnsi="Calibri"/>
          <w:b/>
          <w:szCs w:val="22"/>
        </w:rPr>
        <w:t>Predkladanie žiadostí o súťažné podklady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5" w:name="_Toc488059684"/>
      <w:r w:rsidRPr="001306FE">
        <w:rPr>
          <w:rFonts w:ascii="Calibri" w:hAnsi="Calibri"/>
          <w:b/>
          <w:szCs w:val="22"/>
        </w:rPr>
        <w:t>Podmienky zrušenia použitého postupu zadávania zákazky</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10"/>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DF331B">
        <w:rPr>
          <w:rFonts w:ascii="Calibri" w:eastAsia="TimesNewRomanPSMT" w:hAnsi="Calibri"/>
          <w:color w:val="000000"/>
          <w:sz w:val="22"/>
          <w:szCs w:val="22"/>
        </w:rPr>
        <w:t>dňa</w:t>
      </w:r>
      <w:r w:rsidR="000F4F40"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03</w:t>
      </w:r>
      <w:r w:rsidR="002E27FF" w:rsidRPr="00DF331B">
        <w:rPr>
          <w:rFonts w:ascii="Calibri" w:eastAsia="TimesNewRomanPSMT" w:hAnsi="Calibri"/>
          <w:color w:val="000000"/>
          <w:sz w:val="22"/>
          <w:szCs w:val="22"/>
        </w:rPr>
        <w:t>.</w:t>
      </w:r>
      <w:r w:rsidRPr="00DF331B">
        <w:rPr>
          <w:rFonts w:ascii="Calibri" w:eastAsia="TimesNewRomanPSMT" w:hAnsi="Calibri"/>
          <w:color w:val="000000"/>
          <w:sz w:val="22"/>
          <w:szCs w:val="22"/>
        </w:rPr>
        <w:t>09</w:t>
      </w:r>
      <w:r w:rsidR="002E27FF" w:rsidRPr="00DF331B">
        <w:rPr>
          <w:rFonts w:ascii="Calibri" w:eastAsia="TimesNewRomanPSMT" w:hAnsi="Calibri"/>
          <w:color w:val="000000"/>
          <w:sz w:val="22"/>
          <w:szCs w:val="22"/>
        </w:rPr>
        <w:t>.</w:t>
      </w:r>
      <w:r w:rsidR="004035F6" w:rsidRPr="00DF331B">
        <w:rPr>
          <w:rFonts w:ascii="Calibri" w:eastAsia="TimesNewRomanPSMT" w:hAnsi="Calibri"/>
          <w:color w:val="000000"/>
          <w:sz w:val="22"/>
          <w:szCs w:val="22"/>
        </w:rPr>
        <w:t xml:space="preserve">2019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C62E7F">
        <w:rPr>
          <w:rFonts w:ascii="Calibri" w:hAnsi="Calibri" w:cs="Calibri"/>
          <w:bCs/>
          <w:sz w:val="22"/>
          <w:szCs w:val="22"/>
        </w:rPr>
        <w:t xml:space="preserve">ceny </w:t>
      </w:r>
      <w:r w:rsidR="00C62E7F" w:rsidRPr="00BC0526">
        <w:rPr>
          <w:rFonts w:ascii="Calibri" w:hAnsi="Calibri" w:cs="Calibri"/>
          <w:bCs/>
          <w:sz w:val="22"/>
          <w:szCs w:val="22"/>
        </w:rPr>
        <w:t>za jednu (1) tonu posypovej soli v EUR bez DPH</w:t>
      </w:r>
      <w:r w:rsidRPr="004A26C4">
        <w:rPr>
          <w:rFonts w:ascii="Calibri" w:hAnsi="Calibri" w:cs="Calibri"/>
          <w:sz w:val="22"/>
          <w:szCs w:val="22"/>
        </w:rPr>
        <w:t>. 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A1" w:rsidRDefault="006529A1">
      <w:r>
        <w:separator/>
      </w:r>
    </w:p>
  </w:endnote>
  <w:endnote w:type="continuationSeparator" w:id="0">
    <w:p w:rsidR="006529A1" w:rsidRDefault="0065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564A04">
      <w:rPr>
        <w:rFonts w:ascii="Calibri" w:hAnsi="Calibri" w:cs="Arial"/>
        <w:sz w:val="18"/>
      </w:rPr>
      <w:t>8</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Kúpa a dodanie voľne loženej posypovej soli (</w:t>
    </w:r>
    <w:proofErr w:type="spellStart"/>
    <w:r w:rsidRPr="00861D7B">
      <w:rPr>
        <w:rFonts w:ascii="Calibri" w:hAnsi="Calibri" w:cs="Arial"/>
        <w:sz w:val="18"/>
      </w:rPr>
      <w:t>NaCl</w:t>
    </w:r>
    <w:proofErr w:type="spellEnd"/>
    <w:r w:rsidRPr="00861D7B">
      <w:rPr>
        <w:rFonts w:ascii="Calibri" w:hAnsi="Calibri" w:cs="Arial"/>
        <w:sz w:val="18"/>
      </w:rPr>
      <w:t>) pre zimnú sezónu 201</w:t>
    </w:r>
    <w:r w:rsidR="004035F6">
      <w:rPr>
        <w:rFonts w:ascii="Calibri" w:hAnsi="Calibri" w:cs="Arial"/>
        <w:sz w:val="18"/>
      </w:rPr>
      <w:t>9</w:t>
    </w:r>
    <w:r w:rsidRPr="00861D7B">
      <w:rPr>
        <w:rFonts w:ascii="Calibri" w:hAnsi="Calibri" w:cs="Arial"/>
        <w:sz w:val="18"/>
      </w:rPr>
      <w:t>/20</w:t>
    </w:r>
    <w:r w:rsidR="004035F6">
      <w:rPr>
        <w:rFonts w:ascii="Calibri" w:hAnsi="Calibri" w:cs="Arial"/>
        <w:sz w:val="18"/>
      </w:rPr>
      <w:t>20</w:t>
    </w:r>
    <w:r w:rsidR="00C62E7F">
      <w:rPr>
        <w:rFonts w:ascii="Calibri" w:hAnsi="Calibri" w:cs="Arial"/>
        <w:sz w:val="18"/>
      </w:rPr>
      <w:t xml:space="preserve"> pre oblasť „Stred</w:t>
    </w:r>
    <w:r w:rsidRPr="00861D7B">
      <w:rPr>
        <w:rFonts w:ascii="Calibri" w:hAnsi="Calibri" w:cs="Arial"/>
        <w:sz w:val="18"/>
      </w:rPr>
      <w:t xml:space="preserve">“ – výzva č. </w:t>
    </w:r>
    <w:r w:rsidR="00564A04">
      <w:rPr>
        <w:rFonts w:ascii="Calibri" w:hAnsi="Calibri" w:cs="Arial"/>
        <w:sz w:val="18"/>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A1" w:rsidRDefault="006529A1">
      <w:r>
        <w:separator/>
      </w:r>
    </w:p>
  </w:footnote>
  <w:footnote w:type="continuationSeparator" w:id="0">
    <w:p w:rsidR="006529A1" w:rsidRDefault="0065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564A04">
      <w:rPr>
        <w:rFonts w:ascii="Calibri" w:hAnsi="Calibri"/>
        <w:lang w:val="sk-SK"/>
      </w:rPr>
      <w:t>8</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724"/>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1960"/>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87F35"/>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0B99"/>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A04"/>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9A1"/>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3EE5"/>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2E7F"/>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92BF1"/>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4108-E7F5-4462-82B9-FC26D615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14</TotalTime>
  <Pages>9</Pages>
  <Words>3547</Words>
  <Characters>20224</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23724</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Daniš Martin</cp:lastModifiedBy>
  <cp:revision>5</cp:revision>
  <cp:lastPrinted>2018-02-02T18:05:00Z</cp:lastPrinted>
  <dcterms:created xsi:type="dcterms:W3CDTF">2019-08-20T06:18:00Z</dcterms:created>
  <dcterms:modified xsi:type="dcterms:W3CDTF">2019-09-13T08:18:00Z</dcterms:modified>
</cp:coreProperties>
</file>