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4A51" w14:textId="1EDB13E7" w:rsidR="00F93B2C" w:rsidRPr="001C17A7" w:rsidRDefault="001C17A7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</w:t>
      </w:r>
    </w:p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7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8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7C63F456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1A4D6E">
        <w:rPr>
          <w:rFonts w:ascii="Noto Sans" w:hAnsi="Noto Sans" w:cs="Noto Sans"/>
          <w:color w:val="333333"/>
          <w:shd w:val="clear" w:color="auto" w:fill="FFFFFF"/>
        </w:rPr>
        <w:t>R</w:t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 xml:space="preserve">ebranding </w:t>
      </w:r>
      <w:r w:rsidR="006B2272">
        <w:rPr>
          <w:rFonts w:ascii="Noto Sans" w:hAnsi="Noto Sans" w:cs="Noto Sans"/>
          <w:color w:val="333333"/>
          <w:shd w:val="clear" w:color="auto" w:fill="FFFFFF"/>
        </w:rPr>
        <w:t>-</w:t>
      </w:r>
      <w:r w:rsidR="002C5D2A">
        <w:rPr>
          <w:rFonts w:ascii="Noto Sans" w:hAnsi="Noto Sans" w:cs="Noto Sans"/>
          <w:color w:val="333333"/>
          <w:shd w:val="clear" w:color="auto" w:fill="FFFFFF"/>
        </w:rPr>
        <w:t>polepy vozidiel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="002C5D2A">
        <w:rPr>
          <w:rFonts w:ascii="Noto Sans" w:hAnsi="Noto Sans" w:cs="Noto Sans"/>
          <w:color w:val="333333"/>
          <w:shd w:val="clear" w:color="auto" w:fill="FFFFFF"/>
        </w:rPr>
        <w:t>2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="00A43121"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="00093D0D">
        <w:rPr>
          <w:rFonts w:ascii="Noto Sans" w:hAnsi="Noto Sans" w:cs="Noto Sans"/>
          <w:color w:val="333333"/>
          <w:shd w:val="clear" w:color="auto" w:fill="FFFFFF"/>
        </w:rPr>
        <w:t>2024</w:t>
      </w:r>
    </w:p>
    <w:p w14:paraId="57ED1925" w14:textId="3274E64B" w:rsidR="00A22876" w:rsidRDefault="00A22876" w:rsidP="00A22876"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Odkaz:</w:t>
      </w:r>
      <w:r w:rsidRPr="00AD7129">
        <w:rPr>
          <w:rFonts w:ascii="Noto Sans" w:hAnsi="Noto Sans" w:cs="Noto Sans"/>
        </w:rPr>
        <w:t xml:space="preserve">    </w:t>
      </w:r>
      <w:hyperlink r:id="rId9" w:history="1">
        <w:r w:rsidR="00350970" w:rsidRPr="00350970">
          <w:rPr>
            <w:rStyle w:val="Hypertextovprepojenie"/>
            <w:rFonts w:ascii="Noto Sans" w:hAnsi="Noto Sans" w:cs="Noto Sans"/>
          </w:rPr>
          <w:t>https://josephine.proebiz.com/sk/tender/52278/summary</w:t>
        </w:r>
      </w:hyperlink>
    </w:p>
    <w:p w14:paraId="0D98CD2D" w14:textId="77777777" w:rsidR="00F51370" w:rsidRPr="00AD7129" w:rsidRDefault="00F51370" w:rsidP="001964C6">
      <w:pPr>
        <w:spacing w:after="0"/>
        <w:ind w:left="147" w:firstLine="137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28CCF22" w14:textId="5BC0CCF3" w:rsidR="002C5B44" w:rsidRPr="00AD7129" w:rsidRDefault="008840A1" w:rsidP="002C5B44">
      <w:pPr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2C5D2A" w:rsidRPr="002E01CB">
        <w:rPr>
          <w:rFonts w:ascii="Noto Sans" w:hAnsi="Noto Sans" w:cs="Noto Sans"/>
          <w:shd w:val="clear" w:color="auto" w:fill="FFFFFF"/>
        </w:rPr>
        <w:t>44174000-0 - Fólia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6CE55088" w14:textId="0991A5AC" w:rsidR="00E515F5" w:rsidRDefault="001964C6" w:rsidP="004826EC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</w:t>
      </w:r>
      <w:r w:rsidR="00E515F5" w:rsidRPr="00AD7129">
        <w:rPr>
          <w:rFonts w:ascii="Noto Sans" w:hAnsi="Noto Sans" w:cs="Noto Sans"/>
        </w:rPr>
        <w:t>79800000-2 Tlačiarenské a príbuzné služby</w:t>
      </w:r>
    </w:p>
    <w:p w14:paraId="3B318FC4" w14:textId="09E5BC61" w:rsidR="008D23B2" w:rsidRDefault="008D23B2" w:rsidP="00CB613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72265">
        <w:rPr>
          <w:rFonts w:ascii="Arial" w:hAnsi="Arial" w:cs="Arial"/>
        </w:rPr>
        <w:t>45350000-5 Mechanické inštalácie</w:t>
      </w:r>
    </w:p>
    <w:p w14:paraId="14AC3673" w14:textId="22E5D1A1" w:rsidR="00F51370" w:rsidRPr="00AD7129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60000000-8 Dopravné služby (bez prepravy odpadu)</w:t>
      </w:r>
    </w:p>
    <w:p w14:paraId="5A95190B" w14:textId="61ED42D1" w:rsidR="00CB613C" w:rsidRP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90512000-9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 xml:space="preserve">Služby na prepravu odpadu </w:t>
      </w:r>
    </w:p>
    <w:p w14:paraId="24EE9643" w14:textId="58ADE76B" w:rsid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90513000-6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>Služby na spracovanie a likvidáciu nie nebezpečného odpadu</w:t>
      </w:r>
    </w:p>
    <w:p w14:paraId="0903A9B0" w14:textId="5A10D9C2" w:rsidR="002E01CB" w:rsidRPr="002E01CB" w:rsidRDefault="002C5D2A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2E01CB">
        <w:rPr>
          <w:rFonts w:ascii="Noto Sans" w:hAnsi="Noto Sans" w:cs="Noto Sans"/>
          <w:shd w:val="clear" w:color="auto" w:fill="FFFFFF"/>
        </w:rPr>
        <w:t>30199410-7 Samolepiaci papier</w:t>
      </w:r>
      <w:r w:rsidR="002E01CB" w:rsidRPr="002E01CB">
        <w:rPr>
          <w:rFonts w:ascii="Noto Sans" w:hAnsi="Noto Sans" w:cs="Noto Sans"/>
        </w:rPr>
        <w:br/>
      </w:r>
    </w:p>
    <w:p w14:paraId="2DB18B15" w14:textId="5F87B2A6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>Tovary, 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6596E11B" w14:textId="7D5C6207" w:rsidR="00D73874" w:rsidRPr="00F71838" w:rsidRDefault="00D73874" w:rsidP="00F71838">
      <w:pPr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F71838">
        <w:rPr>
          <w:rFonts w:ascii="Noto Sans" w:hAnsi="Noto Sans" w:cs="Noto Sans"/>
        </w:rPr>
        <w:t xml:space="preserve">Predmetom zákazky je </w:t>
      </w:r>
      <w:r w:rsidRPr="00F71838">
        <w:rPr>
          <w:rFonts w:ascii="Noto Sans" w:hAnsi="Noto Sans" w:cs="Noto Sans"/>
          <w:bCs/>
        </w:rPr>
        <w:t xml:space="preserve">výroba, dodanie a inštalácia </w:t>
      </w:r>
      <w:r w:rsidR="00357837">
        <w:rPr>
          <w:rFonts w:ascii="Noto Sans" w:hAnsi="Noto Sans" w:cs="Noto Sans"/>
          <w:bCs/>
        </w:rPr>
        <w:t xml:space="preserve">polepov </w:t>
      </w:r>
      <w:r w:rsidR="00C5141F" w:rsidRPr="009906EF">
        <w:rPr>
          <w:rFonts w:ascii="Noto Sans" w:hAnsi="Noto Sans" w:cs="Noto Sans"/>
          <w:bCs/>
        </w:rPr>
        <w:t xml:space="preserve">na nákladné vozidlo Toyota Proace. Pattern po oboch bokoch vozidla (2 strany vozidla) + logo a názov web </w:t>
      </w:r>
      <w:r w:rsidR="00C5141F" w:rsidRPr="009906EF">
        <w:rPr>
          <w:rFonts w:ascii="Noto Sans" w:hAnsi="Noto Sans" w:cs="Noto Sans"/>
          <w:bCs/>
        </w:rPr>
        <w:lastRenderedPageBreak/>
        <w:t>stránky, logo na kapotu (š.50 cm, v proporciálne), logo + www.marianum.sk na zadné dvere</w:t>
      </w:r>
      <w:r w:rsidRPr="00F71838">
        <w:rPr>
          <w:rFonts w:ascii="Noto Sans" w:hAnsi="Noto Sans" w:cs="Noto Sans"/>
          <w:bCs/>
        </w:rPr>
        <w:t xml:space="preserve">,  špecializované tlačiarenské služby, grafické služby, v zmysle dizajn manuálu  </w:t>
      </w:r>
      <w:r w:rsidRPr="00F71838">
        <w:rPr>
          <w:rFonts w:ascii="Noto Sans" w:eastAsia="Times New Roman" w:hAnsi="Noto Sans" w:cs="Noto Sans"/>
          <w:lang w:eastAsia="sk-SK"/>
        </w:rPr>
        <w:t xml:space="preserve">v rozsahu  v zmysle prílohy č. 1.1. </w:t>
      </w:r>
    </w:p>
    <w:p w14:paraId="7CD9DDEF" w14:textId="133574EC" w:rsidR="00D73874" w:rsidRPr="00F71838" w:rsidRDefault="009906EF" w:rsidP="009906EF">
      <w:pPr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9906EF">
        <w:rPr>
          <w:rFonts w:ascii="Noto Sans" w:hAnsi="Noto Sans" w:cs="Noto Sans"/>
          <w:bCs/>
        </w:rPr>
        <w:t>Minimálna požiadavka kvality fólie: Fólia liata, lepidlo Controltack Comply s microkanálikmi MicroComply.</w:t>
      </w:r>
      <w:r w:rsidR="00524E44">
        <w:rPr>
          <w:rFonts w:ascii="Noto Sans" w:hAnsi="Noto Sans" w:cs="Noto Sans"/>
          <w:bCs/>
        </w:rPr>
        <w:t xml:space="preserve"> </w:t>
      </w:r>
      <w:r w:rsidR="00D73874" w:rsidRPr="00F71838">
        <w:rPr>
          <w:rFonts w:ascii="Noto Sans" w:eastAsia="Times New Roman" w:hAnsi="Noto Sans" w:cs="Noto Sans"/>
          <w:lang w:eastAsia="sk-SK"/>
        </w:rPr>
        <w:t>Súčasťou zákazky je odvoz a likvidácia odpadu.</w:t>
      </w:r>
    </w:p>
    <w:p w14:paraId="4D241049" w14:textId="5B40F6C1" w:rsidR="00D73874" w:rsidRPr="00F71838" w:rsidRDefault="00D73874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</w:rPr>
      </w:pPr>
      <w:r w:rsidRPr="00F71838">
        <w:rPr>
          <w:rFonts w:ascii="Noto Sans" w:hAnsi="Noto Sans" w:cs="Noto Sans"/>
        </w:rPr>
        <w:t>Dodanie v termínoch:  do 6 týždňov od zaslania objednávky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Predpokladaná hodnota zákazky</w:t>
      </w:r>
    </w:p>
    <w:p w14:paraId="24529F04" w14:textId="5A96A269" w:rsidR="00F51370" w:rsidRPr="00AD7129" w:rsidRDefault="00C5141F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>575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417351" w:rsidRDefault="008840A1" w:rsidP="008840A1">
      <w:pPr>
        <w:spacing w:after="0" w:line="276" w:lineRule="auto"/>
        <w:ind w:left="602" w:hanging="318"/>
        <w:rPr>
          <w:rFonts w:ascii="Noto Sans" w:hAnsi="Noto Sans" w:cs="Noto Sans"/>
          <w:sz w:val="6"/>
          <w:szCs w:val="6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417351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6"/>
          <w:szCs w:val="6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417351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</w:p>
    <w:p w14:paraId="1B39AB16" w14:textId="1D9B9D9E" w:rsidR="008E2AAC" w:rsidRDefault="00F51370" w:rsidP="008E2AAC">
      <w:pPr>
        <w:rPr>
          <w:rFonts w:ascii="Noto Sans" w:hAnsi="Noto Sans" w:cs="Noto Sans"/>
          <w:sz w:val="20"/>
          <w:szCs w:val="20"/>
          <w:lang w:eastAsia="sk-SK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8E2AAC">
        <w:rPr>
          <w:rFonts w:ascii="Noto Sans" w:hAnsi="Noto Sans" w:cs="Noto Sans"/>
          <w:b/>
          <w:bCs/>
        </w:rPr>
        <w:t xml:space="preserve">  </w:t>
      </w:r>
      <w:r w:rsidR="008E2AAC" w:rsidRPr="008E2AAC">
        <w:rPr>
          <w:rFonts w:ascii="Noto Sans" w:hAnsi="Noto Sans" w:cs="Noto Sans"/>
          <w:sz w:val="20"/>
          <w:szCs w:val="20"/>
          <w:lang w:eastAsia="sk-SK"/>
        </w:rPr>
        <w:t>Stredisko DOPRAVA,</w:t>
      </w:r>
      <w:r w:rsidR="008E2AAC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</w:t>
      </w:r>
      <w:r w:rsidR="008E2AAC">
        <w:rPr>
          <w:rFonts w:ascii="Noto Sans" w:hAnsi="Noto Sans" w:cs="Noto Sans"/>
          <w:sz w:val="20"/>
          <w:szCs w:val="20"/>
          <w:lang w:eastAsia="sk-SK"/>
        </w:rPr>
        <w:t>Trnavská cesta 100, 821 01 Bratislava</w:t>
      </w:r>
    </w:p>
    <w:p w14:paraId="3ABC58F8" w14:textId="0E652E5B" w:rsidR="00F51370" w:rsidRPr="002E01CB" w:rsidRDefault="00F51370" w:rsidP="008E2AAC">
      <w:pPr>
        <w:spacing w:after="0"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  <w:r w:rsidRPr="00AD7129">
        <w:rPr>
          <w:rFonts w:ascii="Noto Sans" w:hAnsi="Noto Sans" w:cs="Noto Sans"/>
        </w:rPr>
        <w:t xml:space="preserve"> 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AD7129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7C547605" w14:textId="77777777" w:rsidR="002E01CB" w:rsidRPr="002E01CB" w:rsidRDefault="002E01CB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  <w:sz w:val="6"/>
          <w:szCs w:val="6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5F2CBFB6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025724">
        <w:rPr>
          <w:rFonts w:ascii="Noto Sans" w:hAnsi="Noto Sans" w:cs="Noto Sans"/>
          <w:bCs/>
        </w:rPr>
        <w:t>13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316A5C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F51370" w:rsidRPr="00AD7129">
        <w:rPr>
          <w:rFonts w:ascii="Noto Sans" w:hAnsi="Noto Sans" w:cs="Noto Sans"/>
          <w:bCs/>
        </w:rPr>
        <w:t>202</w:t>
      </w:r>
      <w:r w:rsidR="00316A5C">
        <w:rPr>
          <w:rFonts w:ascii="Noto Sans" w:hAnsi="Noto Sans" w:cs="Noto Sans"/>
          <w:bCs/>
        </w:rPr>
        <w:t xml:space="preserve">4 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459BD894" w14:textId="77777777" w:rsidR="00025724" w:rsidRDefault="00486202" w:rsidP="00025724">
      <w:r w:rsidRPr="00AD7129">
        <w:rPr>
          <w:rFonts w:ascii="Noto Sans" w:hAnsi="Noto Sans" w:cs="Noto Sans"/>
        </w:rPr>
        <w:t xml:space="preserve">       </w:t>
      </w:r>
      <w:hyperlink r:id="rId10" w:history="1">
        <w:r w:rsidR="00025724" w:rsidRPr="00350970">
          <w:rPr>
            <w:rStyle w:val="Hypertextovprepojenie"/>
            <w:rFonts w:ascii="Noto Sans" w:hAnsi="Noto Sans" w:cs="Noto Sans"/>
          </w:rPr>
          <w:t>https://josephine.proebiz.com/sk/tender/52278/summary</w:t>
        </w:r>
      </w:hyperlink>
    </w:p>
    <w:p w14:paraId="6475B6E7" w14:textId="0052B437" w:rsidR="00F51370" w:rsidRDefault="00F51370" w:rsidP="0003138D">
      <w:pPr>
        <w:ind w:left="284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lastRenderedPageBreak/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0611B74F" w14:textId="77777777" w:rsidR="002A6623" w:rsidRPr="002A6623" w:rsidRDefault="002A6623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6"/>
          <w:szCs w:val="6"/>
          <w:shd w:val="clear" w:color="auto" w:fill="FFFFFF"/>
        </w:rPr>
      </w:pPr>
    </w:p>
    <w:p w14:paraId="297B653A" w14:textId="511DFA21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5200B894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ktorý preukázal splnenie </w:t>
      </w:r>
      <w:r w:rsidR="00235095" w:rsidRPr="00AD7129">
        <w:rPr>
          <w:rFonts w:ascii="Noto Sans" w:hAnsi="Noto Sans" w:cs="Noto Sans"/>
        </w:rPr>
        <w:t xml:space="preserve">podmienok súčinnosti pri </w:t>
      </w:r>
      <w:r w:rsidR="003658A5">
        <w:rPr>
          <w:rFonts w:ascii="Noto Sans" w:hAnsi="Noto Sans" w:cs="Noto Sans"/>
        </w:rPr>
        <w:t>spracovaní</w:t>
      </w:r>
      <w:r w:rsidR="00235095" w:rsidRPr="00AD7129">
        <w:rPr>
          <w:rFonts w:ascii="Noto Sans" w:hAnsi="Noto Sans" w:cs="Noto Sans"/>
        </w:rPr>
        <w:t xml:space="preserve"> </w:t>
      </w:r>
      <w:r w:rsidR="003658A5">
        <w:rPr>
          <w:rFonts w:ascii="Noto Sans" w:hAnsi="Noto Sans" w:cs="Noto Sans"/>
        </w:rPr>
        <w:t>objednávky</w:t>
      </w:r>
      <w:r w:rsidRPr="00AD7129">
        <w:rPr>
          <w:rFonts w:ascii="Noto Sans" w:hAnsi="Noto Sans" w:cs="Noto Sans"/>
        </w:rPr>
        <w:t>.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9BFA9E5" w14:textId="116E536B" w:rsidR="00D93EF0" w:rsidRPr="00AD7129" w:rsidRDefault="00D93EF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 úspešným uchádzačom bude spracovaný dokument harmonogram plnenia</w:t>
      </w:r>
    </w:p>
    <w:p w14:paraId="424F20B4" w14:textId="41F044E8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/>
          <w:sz w:val="20"/>
          <w:szCs w:val="20"/>
        </w:rPr>
      </w:pPr>
      <w:r w:rsidRPr="00417351">
        <w:rPr>
          <w:rFonts w:ascii="Noto Sans" w:hAnsi="Noto Sans" w:cs="Noto Sans"/>
          <w:b/>
          <w:sz w:val="20"/>
          <w:szCs w:val="20"/>
        </w:rPr>
        <w:t>Prílohy:</w:t>
      </w:r>
    </w:p>
    <w:p w14:paraId="32B30671" w14:textId="77777777" w:rsidR="003658A5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 – Návrh na plnenie kritérií,</w:t>
      </w:r>
    </w:p>
    <w:p w14:paraId="3BAB1B19" w14:textId="61889A33" w:rsidR="00F51370" w:rsidRPr="00417351" w:rsidRDefault="003658A5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1.1</w:t>
      </w:r>
      <w:r w:rsidR="005F5E22" w:rsidRPr="00417351">
        <w:rPr>
          <w:rFonts w:ascii="Noto Sans" w:hAnsi="Noto Sans" w:cs="Noto Sans"/>
          <w:bCs/>
          <w:sz w:val="20"/>
          <w:szCs w:val="20"/>
        </w:rPr>
        <w:t xml:space="preserve">. </w:t>
      </w:r>
      <w:r w:rsidR="00F51370"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jednotkové ceny</w:t>
      </w:r>
      <w:r w:rsidR="00417351">
        <w:rPr>
          <w:rFonts w:ascii="Noto Sans" w:hAnsi="Noto Sans" w:cs="Noto Sans"/>
          <w:bCs/>
          <w:sz w:val="20"/>
          <w:szCs w:val="20"/>
        </w:rPr>
        <w:t>, Technická špecifikácia</w:t>
      </w:r>
    </w:p>
    <w:sectPr w:rsidR="00F51370" w:rsidRPr="00417351" w:rsidSect="00E7295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C18F" w14:textId="77777777" w:rsidR="00E72958" w:rsidRDefault="00E72958" w:rsidP="00EC368F">
      <w:pPr>
        <w:spacing w:after="0" w:line="240" w:lineRule="auto"/>
      </w:pPr>
      <w:r>
        <w:separator/>
      </w:r>
    </w:p>
  </w:endnote>
  <w:endnote w:type="continuationSeparator" w:id="0">
    <w:p w14:paraId="6C4E180F" w14:textId="77777777" w:rsidR="00E72958" w:rsidRDefault="00E72958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09C3" w14:textId="77777777" w:rsidR="00E72958" w:rsidRDefault="00E72958" w:rsidP="00EC368F">
      <w:pPr>
        <w:spacing w:after="0" w:line="240" w:lineRule="auto"/>
      </w:pPr>
      <w:r>
        <w:separator/>
      </w:r>
    </w:p>
  </w:footnote>
  <w:footnote w:type="continuationSeparator" w:id="0">
    <w:p w14:paraId="3BD79493" w14:textId="77777777" w:rsidR="00E72958" w:rsidRDefault="00E72958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5C46"/>
    <w:rsid w:val="00025724"/>
    <w:rsid w:val="0003138D"/>
    <w:rsid w:val="0003373D"/>
    <w:rsid w:val="00034E30"/>
    <w:rsid w:val="00042225"/>
    <w:rsid w:val="0005018E"/>
    <w:rsid w:val="0005092C"/>
    <w:rsid w:val="00076166"/>
    <w:rsid w:val="00081AE8"/>
    <w:rsid w:val="00091F76"/>
    <w:rsid w:val="00093D0D"/>
    <w:rsid w:val="000A63D0"/>
    <w:rsid w:val="000E7F62"/>
    <w:rsid w:val="000F1C86"/>
    <w:rsid w:val="00105BD7"/>
    <w:rsid w:val="00106015"/>
    <w:rsid w:val="001304F8"/>
    <w:rsid w:val="00130EF4"/>
    <w:rsid w:val="001408B2"/>
    <w:rsid w:val="001449E8"/>
    <w:rsid w:val="0014500C"/>
    <w:rsid w:val="00164FD4"/>
    <w:rsid w:val="001652DC"/>
    <w:rsid w:val="00172C74"/>
    <w:rsid w:val="001964C6"/>
    <w:rsid w:val="001A4D6E"/>
    <w:rsid w:val="001C17A7"/>
    <w:rsid w:val="001C25AD"/>
    <w:rsid w:val="001D763F"/>
    <w:rsid w:val="00204CB6"/>
    <w:rsid w:val="002145BA"/>
    <w:rsid w:val="00223374"/>
    <w:rsid w:val="0022441E"/>
    <w:rsid w:val="00226F06"/>
    <w:rsid w:val="00235095"/>
    <w:rsid w:val="00241CE4"/>
    <w:rsid w:val="0025040D"/>
    <w:rsid w:val="00271F4B"/>
    <w:rsid w:val="002A6623"/>
    <w:rsid w:val="002C5B44"/>
    <w:rsid w:val="002C5D2A"/>
    <w:rsid w:val="002C7D7B"/>
    <w:rsid w:val="002E01CB"/>
    <w:rsid w:val="002E092F"/>
    <w:rsid w:val="002E0D5D"/>
    <w:rsid w:val="002F13B8"/>
    <w:rsid w:val="002F5F00"/>
    <w:rsid w:val="00303238"/>
    <w:rsid w:val="00316A5C"/>
    <w:rsid w:val="00324894"/>
    <w:rsid w:val="00350970"/>
    <w:rsid w:val="003542F1"/>
    <w:rsid w:val="00357837"/>
    <w:rsid w:val="00364673"/>
    <w:rsid w:val="003658A5"/>
    <w:rsid w:val="00377B6A"/>
    <w:rsid w:val="00390DFB"/>
    <w:rsid w:val="0039552A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17351"/>
    <w:rsid w:val="00457266"/>
    <w:rsid w:val="0047001C"/>
    <w:rsid w:val="004826EC"/>
    <w:rsid w:val="00486202"/>
    <w:rsid w:val="004B4522"/>
    <w:rsid w:val="004F0424"/>
    <w:rsid w:val="005057E5"/>
    <w:rsid w:val="00510393"/>
    <w:rsid w:val="00524E44"/>
    <w:rsid w:val="00542746"/>
    <w:rsid w:val="00547BFF"/>
    <w:rsid w:val="00570D16"/>
    <w:rsid w:val="00592619"/>
    <w:rsid w:val="005E3EE9"/>
    <w:rsid w:val="005F0A8A"/>
    <w:rsid w:val="005F5E22"/>
    <w:rsid w:val="00647BF9"/>
    <w:rsid w:val="00664138"/>
    <w:rsid w:val="006B2272"/>
    <w:rsid w:val="006C3DA2"/>
    <w:rsid w:val="006C5310"/>
    <w:rsid w:val="006C7EBC"/>
    <w:rsid w:val="006E4618"/>
    <w:rsid w:val="007008AF"/>
    <w:rsid w:val="00710FE5"/>
    <w:rsid w:val="00715D8F"/>
    <w:rsid w:val="00752661"/>
    <w:rsid w:val="00783B3C"/>
    <w:rsid w:val="007C512F"/>
    <w:rsid w:val="007E36AC"/>
    <w:rsid w:val="007E7118"/>
    <w:rsid w:val="00803D55"/>
    <w:rsid w:val="008444EA"/>
    <w:rsid w:val="008533E0"/>
    <w:rsid w:val="008549D9"/>
    <w:rsid w:val="008718F2"/>
    <w:rsid w:val="00880434"/>
    <w:rsid w:val="008840A1"/>
    <w:rsid w:val="00887612"/>
    <w:rsid w:val="008A11E5"/>
    <w:rsid w:val="008B3B1B"/>
    <w:rsid w:val="008D23B2"/>
    <w:rsid w:val="008E2AAC"/>
    <w:rsid w:val="008F2AF2"/>
    <w:rsid w:val="0090327A"/>
    <w:rsid w:val="00923831"/>
    <w:rsid w:val="00950591"/>
    <w:rsid w:val="00964722"/>
    <w:rsid w:val="009906EF"/>
    <w:rsid w:val="009A4585"/>
    <w:rsid w:val="009B28B7"/>
    <w:rsid w:val="009E6DA3"/>
    <w:rsid w:val="009F2B5D"/>
    <w:rsid w:val="00A025DC"/>
    <w:rsid w:val="00A22876"/>
    <w:rsid w:val="00A43121"/>
    <w:rsid w:val="00A465CA"/>
    <w:rsid w:val="00A636F9"/>
    <w:rsid w:val="00A742A2"/>
    <w:rsid w:val="00A93D09"/>
    <w:rsid w:val="00A96C17"/>
    <w:rsid w:val="00AA126B"/>
    <w:rsid w:val="00AA2746"/>
    <w:rsid w:val="00AB1429"/>
    <w:rsid w:val="00AB2CFF"/>
    <w:rsid w:val="00AC736D"/>
    <w:rsid w:val="00AD7129"/>
    <w:rsid w:val="00B125A2"/>
    <w:rsid w:val="00B21BE5"/>
    <w:rsid w:val="00B22110"/>
    <w:rsid w:val="00B355F0"/>
    <w:rsid w:val="00B707AC"/>
    <w:rsid w:val="00B718A9"/>
    <w:rsid w:val="00B86126"/>
    <w:rsid w:val="00BD0AD5"/>
    <w:rsid w:val="00BE1E5B"/>
    <w:rsid w:val="00C051FB"/>
    <w:rsid w:val="00C36AF2"/>
    <w:rsid w:val="00C5141F"/>
    <w:rsid w:val="00C57B73"/>
    <w:rsid w:val="00C64F1A"/>
    <w:rsid w:val="00C7448B"/>
    <w:rsid w:val="00C816D2"/>
    <w:rsid w:val="00CA7898"/>
    <w:rsid w:val="00CB613C"/>
    <w:rsid w:val="00CB7C0A"/>
    <w:rsid w:val="00CC16B0"/>
    <w:rsid w:val="00CC20DD"/>
    <w:rsid w:val="00CE24CA"/>
    <w:rsid w:val="00D33698"/>
    <w:rsid w:val="00D366AB"/>
    <w:rsid w:val="00D6097E"/>
    <w:rsid w:val="00D73874"/>
    <w:rsid w:val="00D801B2"/>
    <w:rsid w:val="00D91E90"/>
    <w:rsid w:val="00D932B3"/>
    <w:rsid w:val="00D93EF0"/>
    <w:rsid w:val="00D965FC"/>
    <w:rsid w:val="00DD129E"/>
    <w:rsid w:val="00DD5898"/>
    <w:rsid w:val="00E10E41"/>
    <w:rsid w:val="00E42132"/>
    <w:rsid w:val="00E515F5"/>
    <w:rsid w:val="00E7159D"/>
    <w:rsid w:val="00E72958"/>
    <w:rsid w:val="00E95100"/>
    <w:rsid w:val="00E95FD6"/>
    <w:rsid w:val="00EB6A94"/>
    <w:rsid w:val="00EC368F"/>
    <w:rsid w:val="00ED66B4"/>
    <w:rsid w:val="00EE0648"/>
    <w:rsid w:val="00EF3E23"/>
    <w:rsid w:val="00F06F1A"/>
    <w:rsid w:val="00F105E8"/>
    <w:rsid w:val="00F32364"/>
    <w:rsid w:val="00F33F43"/>
    <w:rsid w:val="00F45F6B"/>
    <w:rsid w:val="00F51370"/>
    <w:rsid w:val="00F60B61"/>
    <w:rsid w:val="00F641F8"/>
    <w:rsid w:val="00F71838"/>
    <w:rsid w:val="00F71971"/>
    <w:rsid w:val="00F825E7"/>
    <w:rsid w:val="00F93B2C"/>
    <w:rsid w:val="00FA44E8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52278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52278/summary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2024-01-23T13:52:00Z</cp:lastPrinted>
  <dcterms:created xsi:type="dcterms:W3CDTF">2024-01-30T09:09:00Z</dcterms:created>
  <dcterms:modified xsi:type="dcterms:W3CDTF">2024-01-30T09:11:00Z</dcterms:modified>
</cp:coreProperties>
</file>