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40F7617" w:rsidR="00564276" w:rsidRPr="00E23CD0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41C4E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612F9D">
        <w:rPr>
          <w:rFonts w:ascii="Arial Narrow" w:hAnsi="Arial Narrow" w:cs="Helvetica"/>
          <w:b/>
          <w:sz w:val="22"/>
          <w:szCs w:val="22"/>
          <w:shd w:val="clear" w:color="auto" w:fill="FFFFFF"/>
        </w:rPr>
        <w:t>Poháre a medaily do okresných, krajských kôl a majstrovstiev Slovenskej republiky „Súťaže mladých záchranárov civilnej ochrany“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612F9D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52606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47C11BB1" w14:textId="210401AC" w:rsidR="00021B80" w:rsidRPr="0025789F" w:rsidRDefault="00021B80" w:rsidP="00021B80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5466948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251744">
        <w:rPr>
          <w:rFonts w:ascii="Arial Narrow" w:hAnsi="Arial Narrow" w:cs="Calibri"/>
          <w:sz w:val="22"/>
          <w:szCs w:val="22"/>
        </w:rPr>
        <w:t xml:space="preserve">pohárov a medaily do okresných, krajských kôl </w:t>
      </w:r>
      <w:r w:rsidR="0015662E">
        <w:rPr>
          <w:rFonts w:ascii="Arial Narrow" w:hAnsi="Arial Narrow" w:cs="Calibri"/>
          <w:sz w:val="22"/>
          <w:szCs w:val="22"/>
        </w:rPr>
        <w:t xml:space="preserve"> </w:t>
      </w:r>
      <w:r w:rsidR="00251744">
        <w:rPr>
          <w:rFonts w:ascii="Arial Narrow" w:hAnsi="Arial Narrow" w:cs="Calibri"/>
          <w:sz w:val="22"/>
          <w:szCs w:val="22"/>
        </w:rPr>
        <w:t xml:space="preserve">majstrovstiev Slovenskej republiky do Súťaže mladých záchranárov civilnej ochrany, </w:t>
      </w:r>
      <w:r w:rsidR="00B15193">
        <w:rPr>
          <w:rFonts w:ascii="Arial Narrow" w:hAnsi="Arial Narrow" w:cs="Calibri"/>
          <w:sz w:val="22"/>
          <w:szCs w:val="22"/>
        </w:rPr>
        <w:t>vr</w:t>
      </w:r>
      <w:r w:rsidR="00E97A3E">
        <w:rPr>
          <w:rFonts w:ascii="Arial Narrow" w:hAnsi="Arial Narrow" w:cs="Calibri"/>
          <w:sz w:val="22"/>
          <w:szCs w:val="22"/>
        </w:rPr>
        <w:t>átane</w:t>
      </w:r>
      <w:r>
        <w:rPr>
          <w:rFonts w:ascii="Arial Narrow" w:hAnsi="Arial Narrow" w:cs="Calibri"/>
          <w:sz w:val="22"/>
          <w:szCs w:val="22"/>
        </w:rPr>
        <w:t> 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6CFD5D71" w14:textId="2060E431" w:rsidR="00137ADF" w:rsidRDefault="00137ADF" w:rsidP="00137ADF">
      <w:pPr>
        <w:pStyle w:val="CTL"/>
        <w:numPr>
          <w:ilvl w:val="1"/>
          <w:numId w:val="13"/>
        </w:numPr>
        <w:tabs>
          <w:tab w:val="left" w:pos="567"/>
        </w:tabs>
        <w:spacing w:after="60" w:line="276" w:lineRule="auto"/>
        <w:ind w:left="36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</w:t>
      </w:r>
      <w:r w:rsidR="00FC2417"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137ADF">
        <w:rPr>
          <w:rFonts w:ascii="Arial Narrow" w:hAnsi="Arial Narrow" w:cs="Calibri"/>
          <w:sz w:val="22"/>
          <w:szCs w:val="22"/>
        </w:rPr>
        <w:t>Kupujúcemu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Pr="00137ADF">
        <w:rPr>
          <w:rFonts w:ascii="Arial Narrow" w:hAnsi="Arial Narrow"/>
          <w:sz w:val="22"/>
          <w:szCs w:val="22"/>
        </w:rPr>
        <w:t xml:space="preserve">do </w:t>
      </w:r>
      <w:r w:rsidR="00ED7CEE">
        <w:rPr>
          <w:rFonts w:ascii="Arial Narrow" w:hAnsi="Arial Narrow"/>
          <w:sz w:val="22"/>
          <w:szCs w:val="22"/>
        </w:rPr>
        <w:t>2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Pr="00AC5B75">
        <w:rPr>
          <w:rFonts w:ascii="Arial Narrow" w:hAnsi="Arial Narrow"/>
          <w:sz w:val="22"/>
          <w:szCs w:val="22"/>
        </w:rPr>
        <w:t xml:space="preserve"> dní</w:t>
      </w:r>
      <w:r w:rsidRPr="00137ADF">
        <w:rPr>
          <w:rFonts w:ascii="Arial Narrow" w:hAnsi="Arial Narrow"/>
          <w:sz w:val="22"/>
          <w:szCs w:val="22"/>
        </w:rPr>
        <w:t xml:space="preserve"> odo dňa nadobudnutia účinnosti</w:t>
      </w:r>
    </w:p>
    <w:p w14:paraId="04F72079" w14:textId="625B4813" w:rsidR="00137ADF" w:rsidRDefault="00137ADF" w:rsidP="00137ADF">
      <w:pPr>
        <w:pStyle w:val="CTL"/>
        <w:numPr>
          <w:ilvl w:val="0"/>
          <w:numId w:val="0"/>
        </w:numPr>
        <w:tabs>
          <w:tab w:val="left" w:pos="567"/>
        </w:tabs>
        <w:spacing w:after="60" w:line="276" w:lineRule="auto"/>
        <w:ind w:left="360"/>
        <w:contextualSpacing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  </w:t>
      </w:r>
      <w:r w:rsidR="00021B80">
        <w:rPr>
          <w:rFonts w:ascii="Arial Narrow" w:hAnsi="Arial Narrow"/>
          <w:sz w:val="22"/>
          <w:szCs w:val="22"/>
        </w:rPr>
        <w:t>zmluvy</w:t>
      </w:r>
      <w:r>
        <w:rPr>
          <w:rFonts w:ascii="Arial Narrow" w:hAnsi="Arial Narrow"/>
          <w:sz w:val="22"/>
          <w:szCs w:val="22"/>
        </w:rPr>
        <w:t>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158DC2E9" w:rsidR="00BB427D" w:rsidRPr="00ED7CEE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77777777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partnerov verejného sektora, rovnako ani konečným užívateľom výhod jeho subdodávateľa podľa zákona č.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275A9457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58F98A4C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783B6464" w14:textId="77777777" w:rsidR="00ED7CEE" w:rsidRPr="00AC4EAA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198747EB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75DEB1F3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7B5D9E3A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518C0716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03F8C61D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79D50852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7CAD1E0F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lastRenderedPageBreak/>
        <w:t>generálny tajomník služobného úradu,</w:t>
      </w:r>
    </w:p>
    <w:p w14:paraId="1867116C" w14:textId="2AAC0737" w:rsidR="00ED7CEE" w:rsidRPr="00ED7CEE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7AFE4C7A" w14:textId="77777777" w:rsidR="00ED7CEE" w:rsidRPr="00536CA7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primátor okresného mesta, alebo </w:t>
      </w:r>
    </w:p>
    <w:p w14:paraId="08C8E7C0" w14:textId="77777777" w:rsidR="00ED7CEE" w:rsidRPr="002761BF" w:rsidRDefault="00ED7CEE" w:rsidP="00ED7CEE">
      <w:pPr>
        <w:pStyle w:val="CTL"/>
        <w:numPr>
          <w:ilvl w:val="0"/>
          <w:numId w:val="4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7A7B26E1" w14:textId="336BAFDD" w:rsidR="00ED7CEE" w:rsidRPr="002761BF" w:rsidRDefault="00ED7CEE" w:rsidP="00ED7CE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6A34FC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82519F6" w14:textId="77777777" w:rsidR="00021B80" w:rsidRPr="00021B80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59BA13D6" w14:textId="4CEBED0D" w:rsidR="00FC2417" w:rsidRDefault="00FC2417" w:rsidP="00021B80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195F4867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81B9E">
        <w:rPr>
          <w:rFonts w:ascii="Arial Narrow" w:hAnsi="Arial Narrow" w:cs="Calibri"/>
          <w:sz w:val="22"/>
          <w:szCs w:val="22"/>
          <w:lang w:val="sk-SK"/>
        </w:rPr>
        <w:t xml:space="preserve"> bod 4.3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781B9E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50D9F">
        <w:rPr>
          <w:rFonts w:ascii="Arial Narrow" w:hAnsi="Arial Narrow" w:cs="Calibri"/>
          <w:sz w:val="22"/>
          <w:szCs w:val="22"/>
          <w:lang w:val="sk-SK"/>
        </w:rPr>
        <w:t>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781B9E" w:rsidRDefault="00ED7CEE" w:rsidP="00ED7CEE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81B9E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781B9E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781B9E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781B9E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EUR. </w:t>
      </w:r>
      <w:bookmarkStart w:id="0" w:name="_GoBack"/>
      <w:bookmarkEnd w:id="0"/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A068A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3E47A51" w14:textId="64516071" w:rsidR="00FC2417" w:rsidRPr="00A068A0" w:rsidRDefault="00485F33" w:rsidP="00A068A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0EE0FC33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>
        <w:rPr>
          <w:rFonts w:ascii="Arial Narrow" w:hAnsi="Arial Narrow"/>
        </w:rPr>
        <w:t>Kupujúci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lastRenderedPageBreak/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15F1E257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A068A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111AA0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>podpisu obidvoma zmluvnými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2A5A1FC9" w:rsidR="00111BE1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lastRenderedPageBreak/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24E3A" w14:textId="77777777" w:rsidR="00BB4711" w:rsidRDefault="00BB4711" w:rsidP="00983CE3">
      <w:r>
        <w:separator/>
      </w:r>
    </w:p>
  </w:endnote>
  <w:endnote w:type="continuationSeparator" w:id="0">
    <w:p w14:paraId="5F8B872E" w14:textId="77777777" w:rsidR="00BB4711" w:rsidRDefault="00BB4711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7FEDF54F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781B9E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D62AF" w14:textId="77777777" w:rsidR="00BB4711" w:rsidRDefault="00BB4711" w:rsidP="00983CE3">
      <w:r>
        <w:separator/>
      </w:r>
    </w:p>
  </w:footnote>
  <w:footnote w:type="continuationSeparator" w:id="0">
    <w:p w14:paraId="13E0A1E0" w14:textId="77777777" w:rsidR="00BB4711" w:rsidRDefault="00BB4711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1"/>
  </w:num>
  <w:num w:numId="5">
    <w:abstractNumId w:val="32"/>
  </w:num>
  <w:num w:numId="6">
    <w:abstractNumId w:val="6"/>
  </w:num>
  <w:num w:numId="7">
    <w:abstractNumId w:val="16"/>
  </w:num>
  <w:num w:numId="8">
    <w:abstractNumId w:val="26"/>
  </w:num>
  <w:num w:numId="9">
    <w:abstractNumId w:val="29"/>
  </w:num>
  <w:num w:numId="10">
    <w:abstractNumId w:val="17"/>
  </w:num>
  <w:num w:numId="11">
    <w:abstractNumId w:val="12"/>
  </w:num>
  <w:num w:numId="12">
    <w:abstractNumId w:val="4"/>
  </w:num>
  <w:num w:numId="13">
    <w:abstractNumId w:val="8"/>
  </w:num>
  <w:num w:numId="14">
    <w:abstractNumId w:val="20"/>
  </w:num>
  <w:num w:numId="15">
    <w:abstractNumId w:val="1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8"/>
  </w:num>
  <w:num w:numId="26">
    <w:abstractNumId w:val="5"/>
  </w:num>
  <w:num w:numId="27">
    <w:abstractNumId w:val="30"/>
  </w:num>
  <w:num w:numId="28">
    <w:abstractNumId w:val="33"/>
  </w:num>
  <w:num w:numId="29">
    <w:abstractNumId w:val="22"/>
  </w:num>
  <w:num w:numId="30">
    <w:abstractNumId w:val="21"/>
  </w:num>
  <w:num w:numId="31">
    <w:abstractNumId w:val="19"/>
  </w:num>
  <w:num w:numId="32">
    <w:abstractNumId w:val="9"/>
  </w:num>
  <w:num w:numId="33">
    <w:abstractNumId w:val="14"/>
  </w:num>
  <w:num w:numId="34">
    <w:abstractNumId w:val="23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15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1B80"/>
    <w:rsid w:val="00022909"/>
    <w:rsid w:val="000240C6"/>
    <w:rsid w:val="000307FC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4ECA"/>
    <w:rsid w:val="000B5370"/>
    <w:rsid w:val="000B6765"/>
    <w:rsid w:val="000C4250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D05EC"/>
    <w:rsid w:val="005E5837"/>
    <w:rsid w:val="005F0DEE"/>
    <w:rsid w:val="0060327D"/>
    <w:rsid w:val="006056F6"/>
    <w:rsid w:val="00612F9D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4EA2"/>
    <w:rsid w:val="0073775F"/>
    <w:rsid w:val="00737FAA"/>
    <w:rsid w:val="00745160"/>
    <w:rsid w:val="00765446"/>
    <w:rsid w:val="0077096A"/>
    <w:rsid w:val="00781B9E"/>
    <w:rsid w:val="00781E57"/>
    <w:rsid w:val="007A1F40"/>
    <w:rsid w:val="007A3DBA"/>
    <w:rsid w:val="007A7406"/>
    <w:rsid w:val="007B12CE"/>
    <w:rsid w:val="007B453C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4711"/>
    <w:rsid w:val="00BB6F56"/>
    <w:rsid w:val="00BB79AD"/>
    <w:rsid w:val="00BE1E37"/>
    <w:rsid w:val="00BF0AE1"/>
    <w:rsid w:val="00BF12AA"/>
    <w:rsid w:val="00C0423C"/>
    <w:rsid w:val="00C04A45"/>
    <w:rsid w:val="00C30E73"/>
    <w:rsid w:val="00C32690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D7CEE"/>
    <w:rsid w:val="00EF0B84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9674013-4CB2-40FD-AE42-69256688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2020-02-05T09:35:00Z</cp:lastPrinted>
  <dcterms:created xsi:type="dcterms:W3CDTF">2024-02-15T08:19:00Z</dcterms:created>
  <dcterms:modified xsi:type="dcterms:W3CDTF">2024-02-26T15:29:00Z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