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39C" w14:textId="6F673F49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E0D4F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7EEA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36ABF4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39CFE2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E8BB97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7142F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C2291B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3C566B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CC314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FB3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D4039C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9B4BF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BE29D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57A7D1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CDFC2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4F4E7E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8307F3" w14:textId="0522E7D5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AD4B663" w14:textId="3D4E304F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D25BF9">
        <w:rPr>
          <w:rFonts w:ascii="Garamond" w:eastAsia="Times New Roman" w:hAnsi="Garamond" w:cs="Times New Roman"/>
          <w:sz w:val="20"/>
          <w:szCs w:val="20"/>
        </w:rPr>
        <w:t>Objednávateľ</w:t>
      </w:r>
    </w:p>
    <w:p w14:paraId="7D65EE3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A71D18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7F545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D3B84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</w:t>
      </w:r>
    </w:p>
    <w:p w14:paraId="0B51E68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063F6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BB5B9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2CE38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5F8A7197" w14:textId="488A55A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2262AA" w:rsidRPr="00D25BF9">
        <w:rPr>
          <w:rFonts w:ascii="Garamond" w:eastAsia="Times New Roman" w:hAnsi="Garamond" w:cs="Times New Roman"/>
          <w:sz w:val="20"/>
          <w:szCs w:val="20"/>
        </w:rPr>
        <w:t>Dodávateľ</w:t>
      </w:r>
    </w:p>
    <w:p w14:paraId="5D34A90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45AFC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47592F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945C4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A6143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629A2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EC0ED5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5ED3C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EFCA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682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03E9D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412F0F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6D1AFB" w14:textId="352AC421" w:rsidR="006B4B49" w:rsidRPr="00D25BF9" w:rsidRDefault="00F7012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RÁMCOVÁ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DOHODA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NA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TOVARU</w:t>
      </w:r>
    </w:p>
    <w:p w14:paraId="05B0F1D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703B8D97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B3BFA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CD70B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6A1C0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2C1586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698C4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36B13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89040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02AC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E5AF1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E390C7" w14:textId="2C4F20C5" w:rsidR="006B4B49" w:rsidRPr="00D25BF9" w:rsidRDefault="00FF7EB4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201</w:t>
      </w:r>
      <w:r w:rsidR="009D0B03" w:rsidRPr="00D25BF9">
        <w:rPr>
          <w:rFonts w:ascii="Garamond" w:eastAsia="Times New Roman" w:hAnsi="Garamond" w:cs="Times New Roman"/>
          <w:sz w:val="20"/>
          <w:szCs w:val="20"/>
        </w:rPr>
        <w:t>9</w:t>
      </w:r>
    </w:p>
    <w:p w14:paraId="0D35ED7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E47F44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F3500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5143A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9E33B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32D496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1267E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296BB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1691B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6FE1F153" w14:textId="46F2456A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ZMLUVA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„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D25BF9">
        <w:rPr>
          <w:rFonts w:ascii="Garamond" w:eastAsia="Times New Roman" w:hAnsi="Garamond" w:cs="Times New Roman"/>
          <w:sz w:val="20"/>
          <w:szCs w:val="20"/>
        </w:rPr>
        <w:t>“)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je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uzatvorená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nižšie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uvedeného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dňa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9F3EC0C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049FE79" w14:textId="3868D82C" w:rsidR="00FF1BCA" w:rsidRPr="00D25BF9" w:rsidRDefault="00406D8D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spoločnosť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založená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existujúca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podľa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práva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Slovenskej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republiky,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sídlom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Olejkárska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1,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814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52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492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736,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zapísaná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Obchodnom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registri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Okresného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súdu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oddiel: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vložka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607/B,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DIČ: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DPH: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bankové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spojenie: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VÚB,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a.s.,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účtu: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48009012/0200,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IBAN: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SK98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0200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9012,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BIC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(SWIFT):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SUBASKBX,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štatutárny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D25BF9">
        <w:rPr>
          <w:rFonts w:ascii="Garamond" w:eastAsia="Times New Roman" w:hAnsi="Garamond" w:cs="Times New Roman"/>
          <w:sz w:val="20"/>
          <w:szCs w:val="20"/>
        </w:rPr>
        <w:t>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Michal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Dekánek,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predseda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predstavenstva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Rastislav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Fleško,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člen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predstavenstva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riaditeľ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infraštruktúrneho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úseku,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dodávanie: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Jozef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Karak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1492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hyperlink r:id="rId8" w:history="1">
        <w:r w:rsidR="00FC2E7B" w:rsidRPr="00D25BF9">
          <w:rPr>
            <w:rStyle w:val="Hypertextovprepojenie"/>
            <w:rFonts w:ascii="Garamond" w:hAnsi="Garamond"/>
            <w:sz w:val="20"/>
            <w:szCs w:val="20"/>
            <w:lang w:eastAsia="cs-CZ"/>
          </w:rPr>
          <w:t>karak.jozef@dpb.sk</w:t>
        </w:r>
      </w:hyperlink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JUDr.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Zuzana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Krajčovičová,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1595,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mail: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FC2E7B" w:rsidRPr="00D25BF9">
          <w:rPr>
            <w:rStyle w:val="Hypertextovprepojenie"/>
            <w:rFonts w:ascii="Garamond" w:hAnsi="Garamond"/>
            <w:sz w:val="20"/>
            <w:szCs w:val="20"/>
            <w:lang w:eastAsia="cs-CZ"/>
          </w:rPr>
          <w:t>krajcovicova.zuzana@dpb.sk</w:t>
        </w:r>
      </w:hyperlink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„</w:t>
      </w:r>
      <w:r w:rsidR="00FF1BCA" w:rsidRPr="00D25BF9">
        <w:rPr>
          <w:rFonts w:ascii="Garamond" w:hAnsi="Garamond"/>
          <w:b/>
          <w:sz w:val="20"/>
          <w:szCs w:val="20"/>
          <w:lang w:eastAsia="cs-CZ"/>
        </w:rPr>
        <w:t>Objednávateľ</w:t>
      </w:r>
      <w:r w:rsidR="00FF1BCA" w:rsidRPr="00D25BF9">
        <w:rPr>
          <w:rFonts w:ascii="Garamond" w:hAnsi="Garamond"/>
          <w:sz w:val="20"/>
          <w:szCs w:val="20"/>
          <w:lang w:eastAsia="cs-CZ"/>
        </w:rPr>
        <w:t>”)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jednej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strane;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54CE1B94" w14:textId="21F60A7E" w:rsidR="006B4B49" w:rsidRPr="00D25BF9" w:rsidRDefault="006B4B49" w:rsidP="00414AF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204E78B" w14:textId="1988D288" w:rsidR="006B4B49" w:rsidRPr="00D25BF9" w:rsidRDefault="00AE33B8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D25BF9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spoločnosť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založená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existujúca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sídlom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zapísaná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registri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Okresného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súdu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oddiel: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vložka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DIČ: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DPH: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bankové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spojenie: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účtu: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IBAN: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BIC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(SWIFT):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štatutárny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orgán: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technické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734DCD"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Dodávateľ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11336CC2" w14:textId="77777777" w:rsidR="006B4B49" w:rsidRPr="00D25BF9" w:rsidRDefault="006B4B49" w:rsidP="00FC2E7B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CDFF6DD" w14:textId="6338C3D6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370E6975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A8563AA" w14:textId="6DB180B7" w:rsidR="006B4B49" w:rsidRPr="00D25BF9" w:rsidRDefault="002262AA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Objednávateľ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má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záujem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70128" w:rsidRPr="00D25BF9">
        <w:rPr>
          <w:rFonts w:ascii="Garamond" w:eastAsia="Times New Roman" w:hAnsi="Garamond" w:cs="Times New Roman"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642AD" w:rsidRPr="00D25BF9">
        <w:rPr>
          <w:rFonts w:ascii="Garamond" w:eastAsia="Times New Roman" w:hAnsi="Garamond" w:cs="Times New Roman"/>
          <w:sz w:val="20"/>
          <w:szCs w:val="20"/>
        </w:rPr>
        <w:t>t</w:t>
      </w:r>
      <w:r w:rsidR="00F70128" w:rsidRPr="00D25BF9">
        <w:rPr>
          <w:rFonts w:ascii="Garamond" w:eastAsia="Times New Roman" w:hAnsi="Garamond" w:cs="Times New Roman"/>
          <w:sz w:val="20"/>
          <w:szCs w:val="20"/>
        </w:rPr>
        <w:t>ovaru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účelom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realizoval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predmet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zákazky</w:t>
      </w:r>
      <w:r w:rsidR="004D2F67">
        <w:rPr>
          <w:rFonts w:ascii="Garamond" w:hAnsi="Garamond"/>
          <w:sz w:val="20"/>
          <w:szCs w:val="20"/>
        </w:rPr>
        <w:br/>
      </w:r>
      <w:bookmarkStart w:id="0" w:name="_GoBack"/>
      <w:bookmarkEnd w:id="0"/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PL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D2F67">
        <w:rPr>
          <w:rFonts w:ascii="Garamond" w:hAnsi="Garamond"/>
          <w:sz w:val="20"/>
          <w:szCs w:val="20"/>
        </w:rPr>
        <w:t>11</w:t>
      </w:r>
      <w:r w:rsidR="00B03746" w:rsidRPr="00D25BF9">
        <w:rPr>
          <w:rFonts w:ascii="Garamond" w:hAnsi="Garamond"/>
          <w:sz w:val="20"/>
          <w:szCs w:val="20"/>
        </w:rPr>
        <w:t>/2019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„</w:t>
      </w:r>
      <w:r w:rsidR="00FF1BCA" w:rsidRPr="00D25BF9">
        <w:rPr>
          <w:rFonts w:ascii="Garamond" w:eastAsia="Times New Roman" w:hAnsi="Garamond" w:cs="Times New Roman"/>
          <w:sz w:val="20"/>
          <w:szCs w:val="20"/>
        </w:rPr>
        <w:t>Trolejový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F1BCA" w:rsidRPr="00D25BF9">
        <w:rPr>
          <w:rFonts w:ascii="Garamond" w:eastAsia="Times New Roman" w:hAnsi="Garamond" w:cs="Times New Roman"/>
          <w:sz w:val="20"/>
          <w:szCs w:val="20"/>
        </w:rPr>
        <w:t>drôt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F1BCA" w:rsidRPr="00D25BF9">
        <w:rPr>
          <w:rFonts w:ascii="Garamond" w:eastAsia="Times New Roman" w:hAnsi="Garamond" w:cs="Times New Roman"/>
          <w:sz w:val="20"/>
          <w:szCs w:val="20"/>
        </w:rPr>
        <w:t>medený</w:t>
      </w:r>
      <w:r w:rsidR="000B626D" w:rsidRPr="00D25BF9">
        <w:rPr>
          <w:rFonts w:ascii="Garamond" w:hAnsi="Garamond"/>
          <w:sz w:val="20"/>
          <w:szCs w:val="20"/>
        </w:rPr>
        <w:t>“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343/2015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zmene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doplnení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niektorých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predpisov;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14ED8A2" w14:textId="77777777" w:rsidR="001806CC" w:rsidRPr="00D25BF9" w:rsidRDefault="001806CC" w:rsidP="00414AFF">
      <w:pPr>
        <w:spacing w:after="0" w:line="240" w:lineRule="auto"/>
        <w:ind w:left="-11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A4D286E" w14:textId="2071F683" w:rsidR="00AE33B8" w:rsidRPr="00D25BF9" w:rsidRDefault="002262AA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Calibri" w:hAnsi="Garamond" w:cs="Times New Roman"/>
          <w:sz w:val="20"/>
          <w:szCs w:val="20"/>
        </w:rPr>
        <w:t>Dodávateľ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úspešným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uchádzačom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verejného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obstarávania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predmet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zákazky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PL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D2F67">
        <w:rPr>
          <w:rFonts w:ascii="Garamond" w:hAnsi="Garamond"/>
          <w:sz w:val="20"/>
          <w:szCs w:val="20"/>
        </w:rPr>
        <w:t>11/</w:t>
      </w:r>
      <w:r w:rsidR="00B03746" w:rsidRPr="00D25BF9">
        <w:rPr>
          <w:rFonts w:ascii="Garamond" w:hAnsi="Garamond"/>
          <w:sz w:val="20"/>
          <w:szCs w:val="20"/>
        </w:rPr>
        <w:t>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„</w:t>
      </w:r>
      <w:r w:rsidR="00B03746" w:rsidRPr="00D25BF9">
        <w:rPr>
          <w:rFonts w:ascii="Garamond" w:eastAsia="Times New Roman" w:hAnsi="Garamond" w:cs="Times New Roman"/>
          <w:sz w:val="20"/>
          <w:szCs w:val="20"/>
        </w:rPr>
        <w:t>Trolejový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03746" w:rsidRPr="00D25BF9">
        <w:rPr>
          <w:rFonts w:ascii="Garamond" w:eastAsia="Times New Roman" w:hAnsi="Garamond" w:cs="Times New Roman"/>
          <w:sz w:val="20"/>
          <w:szCs w:val="20"/>
        </w:rPr>
        <w:t>drôt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B03746" w:rsidRPr="00D25BF9">
        <w:rPr>
          <w:rFonts w:ascii="Garamond" w:eastAsia="Times New Roman" w:hAnsi="Garamond" w:cs="Times New Roman"/>
          <w:sz w:val="20"/>
          <w:szCs w:val="20"/>
        </w:rPr>
        <w:t>medený</w:t>
      </w:r>
      <w:r w:rsidR="00B03746" w:rsidRPr="00D25BF9">
        <w:rPr>
          <w:rFonts w:ascii="Garamond" w:hAnsi="Garamond"/>
          <w:sz w:val="20"/>
          <w:szCs w:val="20"/>
        </w:rPr>
        <w:t>“</w:t>
      </w:r>
      <w:r w:rsidR="009B13D0" w:rsidRPr="00D25BF9">
        <w:rPr>
          <w:rFonts w:ascii="Garamond" w:eastAsia="Times New Roman" w:hAnsi="Garamond" w:cs="Times New Roman"/>
          <w:sz w:val="20"/>
          <w:szCs w:val="20"/>
        </w:rPr>
        <w:t>;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E33B8" w:rsidRPr="00D25BF9">
        <w:rPr>
          <w:rFonts w:ascii="Garamond" w:eastAsia="Calibri" w:hAnsi="Garamond" w:cs="Times New Roman"/>
          <w:sz w:val="20"/>
          <w:szCs w:val="20"/>
        </w:rPr>
        <w:t>a</w:t>
      </w:r>
    </w:p>
    <w:p w14:paraId="5D14DC3A" w14:textId="77777777" w:rsidR="00AE33B8" w:rsidRPr="00D25BF9" w:rsidRDefault="00AE33B8" w:rsidP="00FC2E7B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45175DD" w14:textId="1131F3BC" w:rsidR="00AE33B8" w:rsidRPr="00D25BF9" w:rsidRDefault="00AE33B8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záujem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upraviť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vzájomné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70128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479EE" w:rsidRPr="00D25BF9">
        <w:rPr>
          <w:rFonts w:ascii="Garamond" w:hAnsi="Garamond"/>
          <w:sz w:val="20"/>
          <w:szCs w:val="20"/>
        </w:rPr>
        <w:t>T</w:t>
      </w:r>
      <w:r w:rsidR="00F70128" w:rsidRPr="00D25BF9">
        <w:rPr>
          <w:rFonts w:ascii="Garamond" w:hAnsi="Garamond"/>
          <w:sz w:val="20"/>
          <w:szCs w:val="20"/>
        </w:rPr>
        <w:t>ovaru</w:t>
      </w:r>
      <w:r w:rsidRPr="00D25BF9">
        <w:rPr>
          <w:rFonts w:ascii="Garamond" w:hAnsi="Garamond"/>
          <w:sz w:val="20"/>
          <w:szCs w:val="20"/>
        </w:rPr>
        <w:t>;</w:t>
      </w:r>
    </w:p>
    <w:p w14:paraId="44235C21" w14:textId="77777777" w:rsidR="00AE33B8" w:rsidRPr="00D25BF9" w:rsidRDefault="00AE33B8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922459" w14:textId="3929B3BC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bCs/>
          <w:sz w:val="20"/>
          <w:szCs w:val="20"/>
        </w:rPr>
        <w:t>DOHODLO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SA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nasledovné:</w:t>
      </w:r>
    </w:p>
    <w:p w14:paraId="5089335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A825AC1" w14:textId="5132E6B4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/>
          <w:b/>
          <w:bCs/>
          <w:caps/>
          <w:sz w:val="20"/>
          <w:szCs w:val="20"/>
        </w:rPr>
        <w:t>Definície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zmluvných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35E07E0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04F72D7" w14:textId="4389FEA3" w:rsidR="00013130" w:rsidRPr="00D25BF9" w:rsidRDefault="00013130" w:rsidP="00FC2E7B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Pokiaľ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potom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veľkými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začiatočnými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písmenami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2F5609A" w14:textId="77777777" w:rsidR="00734DCD" w:rsidRPr="00D25BF9" w:rsidRDefault="00734DC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A8793CB" w14:textId="5D7AB12B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Tovar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objednávky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2.2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fakturovaná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3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jednotkových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cien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–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Špecifikácia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14AFF" w:rsidRPr="00D25BF9">
        <w:rPr>
          <w:rFonts w:ascii="Garamond" w:hAnsi="Garamond"/>
          <w:sz w:val="20"/>
          <w:szCs w:val="20"/>
          <w:lang w:eastAsia="cs-CZ"/>
        </w:rPr>
        <w:t>Tovaru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tvorí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2F10B2D3" w14:textId="77777777" w:rsidR="000479EE" w:rsidRPr="00D25BF9" w:rsidRDefault="000479EE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2C7BFC5" w14:textId="265EA69E" w:rsidR="001806CC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Miesto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plnenia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Hlavný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sklad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-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Jurajov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dvor,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2E41AA" w:rsidRPr="00D25BF9">
        <w:rPr>
          <w:rFonts w:ascii="Garamond" w:hAnsi="Garamond"/>
          <w:sz w:val="20"/>
          <w:szCs w:val="20"/>
        </w:rPr>
        <w:t>Rožňavská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E41AA" w:rsidRPr="00D25BF9">
        <w:rPr>
          <w:rFonts w:ascii="Garamond" w:hAnsi="Garamond"/>
          <w:sz w:val="20"/>
          <w:szCs w:val="20"/>
        </w:rPr>
        <w:t>19</w:t>
      </w:r>
      <w:r w:rsidR="003642AD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3642AD" w:rsidRPr="00D25BF9">
        <w:rPr>
          <w:rFonts w:ascii="Garamond" w:hAnsi="Garamond"/>
          <w:sz w:val="20"/>
          <w:szCs w:val="20"/>
        </w:rPr>
        <w:t>831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3642AD" w:rsidRPr="00D25BF9">
        <w:rPr>
          <w:rFonts w:ascii="Garamond" w:hAnsi="Garamond"/>
          <w:sz w:val="20"/>
          <w:szCs w:val="20"/>
        </w:rPr>
        <w:t>04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Bratislava;</w:t>
      </w:r>
    </w:p>
    <w:p w14:paraId="1F822F76" w14:textId="77777777" w:rsidR="001806CC" w:rsidRPr="00D25BF9" w:rsidRDefault="001806CC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5C6B2D7" w14:textId="789F8E50" w:rsidR="001806CC" w:rsidRPr="00D25BF9" w:rsidRDefault="001806CC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40/1964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</w:t>
      </w:r>
    </w:p>
    <w:p w14:paraId="271E4D15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507FE4FC" w14:textId="11FA8698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513/1991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predpisov;</w:t>
      </w:r>
    </w:p>
    <w:p w14:paraId="74316139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06A6BA7" w14:textId="64FCB553" w:rsidR="0033357D" w:rsidRPr="00D25BF9" w:rsidRDefault="0033357D" w:rsidP="00414AFF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Pracovný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sobotou,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nedeľou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pokoja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voľna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Slovenskej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republike;</w:t>
      </w:r>
    </w:p>
    <w:p w14:paraId="7DA622E1" w14:textId="77777777" w:rsidR="0033357D" w:rsidRPr="00D25BF9" w:rsidRDefault="0033357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2F0789" w14:textId="4011423B" w:rsidR="006D1681" w:rsidRPr="00D25BF9" w:rsidRDefault="006D1681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D25BF9">
        <w:rPr>
          <w:rFonts w:ascii="Garamond" w:hAnsi="Garamond"/>
          <w:b/>
          <w:sz w:val="20"/>
          <w:szCs w:val="20"/>
        </w:rPr>
        <w:t>Register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partnerov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verejného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informačný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systém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</w:t>
      </w:r>
      <w:r w:rsidR="00FC2E7B" w:rsidRPr="00D25BF9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obsahuje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partneroch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konečných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užívateľoch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výhod</w:t>
      </w:r>
      <w:r w:rsidR="00032F5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j</w:t>
      </w:r>
      <w:r w:rsidRPr="00D25BF9">
        <w:rPr>
          <w:rFonts w:ascii="Garamond" w:hAnsi="Garamond"/>
          <w:sz w:val="20"/>
          <w:szCs w:val="20"/>
        </w:rPr>
        <w:t>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prevádzkovateľom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prístupný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on-line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webovom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sídle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D25BF9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D25BF9">
        <w:rPr>
          <w:rFonts w:ascii="Garamond" w:hAnsi="Garamond"/>
          <w:sz w:val="20"/>
          <w:szCs w:val="20"/>
        </w:rPr>
        <w:t>;</w:t>
      </w:r>
    </w:p>
    <w:p w14:paraId="0EA3901E" w14:textId="77777777" w:rsidR="006D1681" w:rsidRPr="00D25BF9" w:rsidRDefault="006D1681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6BB4BB" w14:textId="0BCAD1B4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Tovar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436F2">
        <w:rPr>
          <w:rFonts w:ascii="Garamond" w:eastAsia="Times New Roman" w:hAnsi="Garamond" w:cs="Times New Roman"/>
          <w:sz w:val="20"/>
          <w:szCs w:val="20"/>
        </w:rPr>
        <w:t>trolejový drôt medený s prímesou striebra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bližšie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</w:t>
      </w:r>
      <w:r w:rsidR="00D436F2">
        <w:rPr>
          <w:rFonts w:ascii="Garamond" w:hAnsi="Garamond"/>
          <w:sz w:val="20"/>
          <w:szCs w:val="20"/>
        </w:rPr>
        <w:t>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734DCD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tvorí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neoddeliteľnú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súčasť</w:t>
      </w:r>
      <w:r w:rsidRPr="00D25BF9">
        <w:rPr>
          <w:rFonts w:ascii="Garamond" w:hAnsi="Garamond"/>
          <w:sz w:val="20"/>
          <w:szCs w:val="20"/>
          <w:lang w:eastAsia="cs-CZ"/>
        </w:rPr>
        <w:t>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30012880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77B83AD" w14:textId="18D3BA60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Zmluvná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strana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Dodávateľ.</w:t>
      </w:r>
    </w:p>
    <w:p w14:paraId="18776123" w14:textId="77777777" w:rsidR="00013130" w:rsidRPr="00D25BF9" w:rsidRDefault="00013130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6D634A9" w14:textId="09AABE6D" w:rsidR="00013130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Okrem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pojmov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1.1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takýto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priradený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definovaný.</w:t>
      </w:r>
    </w:p>
    <w:p w14:paraId="52AF1308" w14:textId="77777777" w:rsidR="00013130" w:rsidRPr="00D25BF9" w:rsidRDefault="00013130" w:rsidP="00FC2E7B">
      <w:pPr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5F604E5C" w14:textId="5B02BAB7" w:rsidR="005147CB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kontextu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nevyplýva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zámer,</w:t>
      </w:r>
    </w:p>
    <w:p w14:paraId="32D6DAFC" w14:textId="77777777" w:rsidR="003642AD" w:rsidRPr="00D25BF9" w:rsidRDefault="003642A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CAAF6A4" w14:textId="73B87C76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zahŕňa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právnych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nástupcov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postupníkov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nadobúdateľov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záväzkov,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vyplývajúcich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15C4B58A" w14:textId="77777777" w:rsidR="002262AA" w:rsidRPr="00D25BF9" w:rsidRDefault="002262A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6753F4F" w14:textId="0B0AF502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lastRenderedPageBreak/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dodatkov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zmien,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vrátane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novácií;</w:t>
      </w:r>
    </w:p>
    <w:p w14:paraId="4B0A7AD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16517B" w14:textId="5E85C20F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predstavujú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správny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ustanovení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možný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prihliadnutím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obsah.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Nadpisy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častí,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slúžia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výlučne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uľahčenie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orientácie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nepoužijú;</w:t>
      </w:r>
    </w:p>
    <w:p w14:paraId="2F40C64F" w14:textId="77777777" w:rsidR="00013130" w:rsidRPr="00D25BF9" w:rsidRDefault="00013130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3048A75" w14:textId="251F3EC8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„článok“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„prílohu“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článok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40408877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C00E88" w14:textId="3084DD41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rovnaký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keď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množnom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naopak.</w:t>
      </w:r>
    </w:p>
    <w:p w14:paraId="10FA2DF5" w14:textId="77777777" w:rsidR="00013130" w:rsidRPr="00D25BF9" w:rsidRDefault="00013130" w:rsidP="00FC2E7B">
      <w:pPr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68C1CC78" w14:textId="6000CAC2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PREDMET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ZMLUVY</w:t>
      </w:r>
    </w:p>
    <w:p w14:paraId="6DCE07D5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40F7A55" w14:textId="52D7AB8A" w:rsidR="00013130" w:rsidRPr="00D25BF9" w:rsidRDefault="00013130" w:rsidP="00FC2E7B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Predmetom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záväzok:</w:t>
      </w:r>
    </w:p>
    <w:p w14:paraId="30D4BD69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6C733743" w14:textId="2E73ECE4" w:rsidR="00013130" w:rsidRPr="00D25BF9" w:rsidRDefault="00013130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riadne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včas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previesť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vlastnícke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Objednávateľa;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</w:p>
    <w:p w14:paraId="1B1C088B" w14:textId="79B14C1C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1D807212" w14:textId="59545D16" w:rsidR="00013130" w:rsidRPr="00D25BF9" w:rsidRDefault="00013130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Objednávateľa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prevziať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zaplatiť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Kúpnu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cenu</w:t>
      </w:r>
      <w:r w:rsidRPr="00D25BF9">
        <w:rPr>
          <w:rFonts w:ascii="Garamond" w:hAnsi="Garamond" w:cs="Arial"/>
          <w:sz w:val="20"/>
          <w:szCs w:val="20"/>
        </w:rPr>
        <w:t>;</w:t>
      </w:r>
    </w:p>
    <w:p w14:paraId="63A4F182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49D1E151" w14:textId="0049EE20" w:rsidR="00013130" w:rsidRPr="00D25BF9" w:rsidRDefault="00013130" w:rsidP="00FC2E7B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podmienok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stanovených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Zmluvou.</w:t>
      </w:r>
    </w:p>
    <w:p w14:paraId="7FEAB331" w14:textId="77777777" w:rsidR="00A831CB" w:rsidRPr="00D25BF9" w:rsidRDefault="00A831CB" w:rsidP="00414AFF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7C63029F" w14:textId="24040840" w:rsidR="00A831CB" w:rsidRPr="00D25BF9" w:rsidRDefault="00013130" w:rsidP="00414AFF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Dodávanie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zabezpečené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aktuálnych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potrieb.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zaväzuje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doručením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potvrdenú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Dodávateľom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podkladom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fakturáciu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B1E06" w:rsidRPr="00D25BF9">
        <w:rPr>
          <w:rFonts w:ascii="Garamond" w:hAnsi="Garamond" w:cs="Arial"/>
          <w:sz w:val="20"/>
          <w:szCs w:val="20"/>
        </w:rPr>
        <w:t>3.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B1E06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3</w:t>
      </w:r>
      <w:r w:rsidR="001806CC" w:rsidRPr="00D25BF9">
        <w:rPr>
          <w:rFonts w:ascii="Garamond" w:hAnsi="Garamond" w:cs="Arial"/>
          <w:sz w:val="20"/>
          <w:szCs w:val="20"/>
        </w:rPr>
        <w:t>.5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Potvrdená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záväzná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ňou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viazané.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</w:p>
    <w:p w14:paraId="3EEBCBE8" w14:textId="68FAE654" w:rsidR="00475EFE" w:rsidRPr="00D25BF9" w:rsidRDefault="00475EFE" w:rsidP="00414AFF">
      <w:p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08221BB" w14:textId="2EF39ACC" w:rsidR="00CF0D04" w:rsidRPr="00D25BF9" w:rsidRDefault="00EF16E2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  <w:lang w:eastAsia="ar-SA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nový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kvalite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množstvá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Prílohy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85A12" w:rsidRPr="00D25BF9">
        <w:rPr>
          <w:rFonts w:ascii="Garamond" w:hAnsi="Garamond"/>
          <w:sz w:val="20"/>
          <w:szCs w:val="20"/>
        </w:rPr>
        <w:t>predpokladané</w:t>
      </w:r>
      <w:r w:rsidR="002B1738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4F494F2B" w14:textId="77777777" w:rsidR="00163AAB" w:rsidRPr="00D25BF9" w:rsidRDefault="00163AAB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C3D7AD7" w14:textId="261BAF77" w:rsidR="00CF0D04" w:rsidRPr="00D25BF9" w:rsidRDefault="00CF0D04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916E2F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trvania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Zmluvy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032F51" w:rsidRPr="00D25BF9">
        <w:rPr>
          <w:rFonts w:ascii="Garamond" w:hAnsi="Garamond"/>
          <w:b/>
          <w:sz w:val="20"/>
          <w:szCs w:val="20"/>
        </w:rPr>
        <w:t>[</w:t>
      </w:r>
      <w:r w:rsidR="00032F51" w:rsidRPr="00D25BF9">
        <w:rPr>
          <w:rFonts w:ascii="Garamond" w:hAnsi="Garamond"/>
          <w:b/>
          <w:sz w:val="20"/>
          <w:szCs w:val="20"/>
          <w:highlight w:val="yellow"/>
        </w:rPr>
        <w:t>doplniť</w:t>
      </w:r>
      <w:r w:rsidR="00032F51" w:rsidRPr="00D25BF9">
        <w:rPr>
          <w:rFonts w:ascii="Garamond" w:hAnsi="Garamond"/>
          <w:b/>
          <w:sz w:val="20"/>
          <w:szCs w:val="20"/>
        </w:rPr>
        <w:t>]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EUR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</w:t>
      </w:r>
      <w:r w:rsidR="005961BA" w:rsidRPr="00D25BF9">
        <w:rPr>
          <w:rFonts w:ascii="Garamond" w:hAnsi="Garamond"/>
          <w:sz w:val="20"/>
          <w:szCs w:val="20"/>
        </w:rPr>
        <w:t>[</w:t>
      </w:r>
      <w:r w:rsidR="005961BA" w:rsidRPr="00D25BF9">
        <w:rPr>
          <w:rFonts w:ascii="Garamond" w:hAnsi="Garamond"/>
          <w:sz w:val="20"/>
          <w:szCs w:val="20"/>
          <w:highlight w:val="yellow"/>
        </w:rPr>
        <w:t>doplniť</w:t>
      </w:r>
      <w:r w:rsidR="005961BA" w:rsidRPr="00D25BF9">
        <w:rPr>
          <w:rFonts w:ascii="Garamond" w:hAnsi="Garamond"/>
          <w:sz w:val="20"/>
          <w:szCs w:val="20"/>
        </w:rPr>
        <w:t>]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eur)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B3DF7" w:rsidRPr="00D25BF9">
        <w:rPr>
          <w:rFonts w:ascii="Garamond" w:hAnsi="Garamond"/>
          <w:sz w:val="20"/>
          <w:szCs w:val="20"/>
          <w:lang w:eastAsia="cs-CZ"/>
        </w:rPr>
        <w:t>bez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B3DF7" w:rsidRPr="00D25BF9">
        <w:rPr>
          <w:rFonts w:ascii="Garamond" w:hAnsi="Garamond"/>
          <w:sz w:val="20"/>
          <w:szCs w:val="20"/>
          <w:lang w:eastAsia="cs-CZ"/>
        </w:rPr>
        <w:t>DPH</w:t>
      </w:r>
      <w:r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FC2E7B" w:rsidRPr="00D25BF9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finančný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predpokladaný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vyčerpať</w:t>
      </w:r>
      <w:r w:rsidRPr="00D25BF9">
        <w:rPr>
          <w:rFonts w:ascii="Garamond" w:hAnsi="Garamond"/>
          <w:color w:val="000000" w:themeColor="text1"/>
          <w:sz w:val="20"/>
          <w:szCs w:val="20"/>
        </w:rPr>
        <w:t>.</w:t>
      </w:r>
    </w:p>
    <w:p w14:paraId="3DAC8385" w14:textId="77777777" w:rsidR="00163AAB" w:rsidRPr="00D25BF9" w:rsidRDefault="00163AAB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1DB4D718" w14:textId="7737A141" w:rsidR="00163AAB" w:rsidRPr="00D25BF9" w:rsidRDefault="00163AAB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 w:rsidRPr="00D25BF9">
        <w:rPr>
          <w:rFonts w:ascii="Garamond" w:hAnsi="Garamond" w:cs="Arial"/>
          <w:sz w:val="20"/>
          <w:szCs w:val="20"/>
          <w:lang w:eastAsia="ar-SA"/>
        </w:rPr>
        <w:t>Dodávateľ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zaväzuje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dodávať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Objednávateľovi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Tovar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riadne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včas,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vo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vlastnom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mene,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vlastnú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zodpovednosť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vlastné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nebezpečenstvo,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rozsahu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podmienok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dohodnutých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sz w:val="20"/>
          <w:szCs w:val="20"/>
          <w:lang w:eastAsia="ar-SA"/>
        </w:rPr>
        <w:t>Zmluve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samostatne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požadovanej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úrovni.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strany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dohodli,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že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starostlivosti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Dodávateľom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považuje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podstatné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Zmluvy.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07A99561" w14:textId="77777777" w:rsidR="00BB1E06" w:rsidRPr="00D25BF9" w:rsidRDefault="00BB1E06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77E59B12" w14:textId="4BF31F90" w:rsidR="00BB1E06" w:rsidRPr="00D25BF9" w:rsidRDefault="00BB1E06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D25BF9">
        <w:rPr>
          <w:rFonts w:ascii="Garamond" w:eastAsia="Calibri" w:hAnsi="Garamond"/>
          <w:b/>
          <w:bCs/>
          <w:sz w:val="20"/>
          <w:szCs w:val="20"/>
        </w:rPr>
        <w:t>ODANIE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3E7AF381" w14:textId="77777777" w:rsidR="00BB1E06" w:rsidRPr="00D25BF9" w:rsidRDefault="00BB1E06" w:rsidP="00FC2E7B">
      <w:pPr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DDC8058" w14:textId="2EB2AB97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zabezpečiť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množstve,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vyhotovení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Miesto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dodacej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>6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(</w:t>
      </w:r>
      <w:r w:rsidR="00503AB2" w:rsidRPr="00D25BF9">
        <w:rPr>
          <w:rFonts w:ascii="Garamond" w:hAnsi="Garamond"/>
          <w:b/>
          <w:sz w:val="20"/>
          <w:szCs w:val="20"/>
        </w:rPr>
        <w:t>šiestich</w:t>
      </w:r>
      <w:r w:rsidRPr="00D25BF9">
        <w:rPr>
          <w:rFonts w:ascii="Garamond" w:hAnsi="Garamond"/>
          <w:b/>
          <w:sz w:val="20"/>
          <w:szCs w:val="20"/>
        </w:rPr>
        <w:t>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 xml:space="preserve">týždňov </w:t>
      </w:r>
      <w:r w:rsidRPr="00D25BF9">
        <w:rPr>
          <w:rFonts w:ascii="Garamond" w:hAnsi="Garamond"/>
          <w:b/>
          <w:sz w:val="20"/>
          <w:szCs w:val="20"/>
        </w:rPr>
        <w:t>odo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dňa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doručenia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termín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resp.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inak.</w:t>
      </w:r>
    </w:p>
    <w:p w14:paraId="5F3479B2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2D97AC" w14:textId="2D01AC32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odobrať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dňoch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13:00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hod.,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vopred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dohodnú.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Mimo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vyššie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výslovným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súhlasom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F20A4E9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34933" w14:textId="493EEE49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potrebné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najmä: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E903089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CA2ECBB" w14:textId="06A5C668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objednávky;</w:t>
      </w:r>
    </w:p>
    <w:p w14:paraId="7160B086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56108C8" w14:textId="2367AAD7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dodací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jednotkovými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cenami</w:t>
      </w:r>
      <w:r w:rsidR="00503AB2" w:rsidRPr="00D25BF9">
        <w:rPr>
          <w:rFonts w:ascii="Garamond" w:hAnsi="Garamond"/>
          <w:sz w:val="20"/>
          <w:szCs w:val="20"/>
        </w:rPr>
        <w:t>;</w:t>
      </w:r>
    </w:p>
    <w:p w14:paraId="169A9D20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B84899" w14:textId="1906A845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prípadný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návod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používanie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manipuláciu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skladovanie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dodržiavanie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bezpečnosti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ochrany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zdravia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práci;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</w:p>
    <w:p w14:paraId="26C5E0BD" w14:textId="77777777" w:rsidR="00BB1E06" w:rsidRPr="00D25BF9" w:rsidRDefault="00BB1E06" w:rsidP="00414AF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DAED8A7" w14:textId="6877BF56" w:rsidR="00DD6967" w:rsidRPr="00DD6967" w:rsidRDefault="00BB1E06" w:rsidP="00DD6967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Pr="00D25BF9">
        <w:rPr>
          <w:rFonts w:ascii="Garamond" w:hAnsi="Garamond"/>
          <w:sz w:val="20"/>
          <w:szCs w:val="20"/>
        </w:rPr>
        <w:t>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DD6967">
        <w:rPr>
          <w:rFonts w:ascii="Garamond" w:hAnsi="Garamond"/>
          <w:sz w:val="20"/>
          <w:szCs w:val="20"/>
        </w:rPr>
        <w:t>;</w:t>
      </w:r>
    </w:p>
    <w:p w14:paraId="38AB321A" w14:textId="77777777" w:rsidR="00BB1E06" w:rsidRPr="00D25BF9" w:rsidRDefault="00BB1E06" w:rsidP="00FC2E7B">
      <w:pPr>
        <w:tabs>
          <w:tab w:val="left" w:pos="426"/>
          <w:tab w:val="num" w:pos="709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1AADE0F8" w14:textId="0BCDAB0E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prehliadky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vyhradzuje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B9C558D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78AB253" w14:textId="67E01EB7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bežnému,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EE80B84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70EC057" w14:textId="0F8A4C8B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lastRenderedPageBreak/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nedodrží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akosť,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kvalitu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množstvo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špecifikovaného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Zmluvou;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BF586F8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547CF3C" w14:textId="3B26C113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bode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ukáže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zavádzajúce.</w:t>
      </w:r>
    </w:p>
    <w:p w14:paraId="7EE5DD13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5F2F84" w14:textId="44BE9709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prezeraní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viac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50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zjavné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celej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</w:p>
    <w:p w14:paraId="05AEC07C" w14:textId="77777777" w:rsidR="00BB1E06" w:rsidRPr="00D25BF9" w:rsidRDefault="00BB1E06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C1B0D3F" w14:textId="79F395E5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kedy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predchádzajúcej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nárok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uplatňovať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primeranú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zľavu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ceny.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4D7E634" w14:textId="77777777" w:rsidR="00BB1E06" w:rsidRPr="00D25BF9" w:rsidRDefault="00BB1E06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9A73B31" w14:textId="0E62AA52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okamihom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nedošlo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zostáva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prekážku,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prevziať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Pr="00D25BF9">
        <w:rPr>
          <w:rFonts w:ascii="Garamond" w:hAnsi="Garamond"/>
          <w:sz w:val="20"/>
          <w:szCs w:val="20"/>
        </w:rPr>
        <w:t>.</w:t>
      </w:r>
    </w:p>
    <w:p w14:paraId="1F96D2FE" w14:textId="77777777" w:rsidR="00BB1E06" w:rsidRPr="00D25BF9" w:rsidRDefault="00BB1E06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292E6A" w14:textId="45B1576E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výhrad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potvrdí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B43DD6B" w14:textId="77777777" w:rsidR="00013130" w:rsidRPr="00D25BF9" w:rsidRDefault="00013130" w:rsidP="00FC2E7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5923E4A" w14:textId="03EBE918" w:rsidR="00013130" w:rsidRPr="00D25BF9" w:rsidRDefault="00DA7CE7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66C96CC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983A534" w14:textId="18A067E8" w:rsidR="006C20D1" w:rsidRPr="00D25BF9" w:rsidRDefault="00475EFE" w:rsidP="00FC2E7B">
      <w:pPr>
        <w:pStyle w:val="Odsekzoznamu"/>
        <w:numPr>
          <w:ilvl w:val="1"/>
          <w:numId w:val="4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Arial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18/1996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konečná,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možnosti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doúčtovania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ďalších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nákladov.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zahŕňa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všetky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Dodávateľa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najmä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dovoz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Tovar</w:t>
      </w:r>
      <w:r w:rsidR="00503AB2" w:rsidRPr="00D25BF9">
        <w:rPr>
          <w:rFonts w:ascii="Garamond" w:hAnsi="Garamond"/>
          <w:sz w:val="20"/>
          <w:szCs w:val="20"/>
        </w:rPr>
        <w:t>u</w:t>
      </w:r>
      <w:r w:rsidR="00916E2F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balenie,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vrátane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materiálu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použitého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postupovať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271C1" w:rsidRPr="00D25BF9">
        <w:rPr>
          <w:rFonts w:ascii="Garamond" w:hAnsi="Garamond"/>
          <w:sz w:val="20"/>
          <w:szCs w:val="20"/>
        </w:rPr>
        <w:t>osobitných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predpisov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053CB9F8" w14:textId="77777777" w:rsidR="006C20D1" w:rsidRPr="00D25BF9" w:rsidRDefault="006C20D1" w:rsidP="00414AFF">
      <w:pPr>
        <w:tabs>
          <w:tab w:val="left" w:pos="709"/>
        </w:tabs>
        <w:spacing w:after="0" w:line="240" w:lineRule="auto"/>
        <w:contextualSpacing/>
        <w:jc w:val="both"/>
        <w:rPr>
          <w:rFonts w:ascii="Garamond" w:eastAsia="Calibri" w:hAnsi="Garamond" w:cs="Arial"/>
          <w:sz w:val="20"/>
          <w:szCs w:val="20"/>
        </w:rPr>
      </w:pPr>
    </w:p>
    <w:p w14:paraId="5D74C7AE" w14:textId="66CFF39F" w:rsidR="006C20D1" w:rsidRPr="00D25BF9" w:rsidRDefault="006C20D1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Arial"/>
          <w:sz w:val="20"/>
          <w:szCs w:val="20"/>
        </w:rPr>
      </w:pPr>
      <w:r w:rsidRPr="00D25BF9">
        <w:rPr>
          <w:rFonts w:ascii="Garamond" w:eastAsia="Calibri" w:hAnsi="Garamond" w:cs="Arial"/>
          <w:sz w:val="20"/>
          <w:szCs w:val="20"/>
        </w:rPr>
        <w:t>Zmluvné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strany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dohodli,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že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prípade,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obchodovateľný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finančný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objem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uvedený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článku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2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bode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CE11EB" w:rsidRPr="00D25BF9">
        <w:rPr>
          <w:rFonts w:ascii="Garamond" w:eastAsia="Calibri" w:hAnsi="Garamond" w:cs="Arial"/>
          <w:sz w:val="20"/>
          <w:szCs w:val="20"/>
        </w:rPr>
        <w:t>2.4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vyčerpaný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6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mesiacov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nadobudnutia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účinnosti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Zmluvy,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môže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Objednávateľ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pristúpiť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prehodnoteniu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cien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uvedených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Prílohe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1,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ohľadom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vývoj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cien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porovnateľných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Tovarov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relevantnom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trhu,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pričom,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tieto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trhu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nižšie,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než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určená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Zmluvou,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najviac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sume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priemeru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medzi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tromi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najnižšími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cenami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zistenými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trhu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vyzve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Dodávateľa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jej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odsúhlasenie.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Ak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neodsúhlasí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novú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zistenú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nedodá,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alebo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schopný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dodať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plnenie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takúto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odsúhlasenú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cenu,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Objednávateľ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môže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 </w:t>
      </w:r>
      <w:r w:rsidRPr="00D25BF9">
        <w:rPr>
          <w:rFonts w:ascii="Garamond" w:eastAsia="Calibri" w:hAnsi="Garamond" w:cs="Arial"/>
          <w:sz w:val="20"/>
          <w:szCs w:val="20"/>
        </w:rPr>
        <w:t>vypovedať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Zmluvu.</w:t>
      </w:r>
    </w:p>
    <w:p w14:paraId="17AD264B" w14:textId="77777777" w:rsidR="00916E2F" w:rsidRPr="00D25BF9" w:rsidRDefault="00916E2F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2B0CE48" w14:textId="7AD387C3" w:rsidR="00BE3D74" w:rsidRPr="00D25BF9" w:rsidRDefault="00916E2F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sadzby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mernú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–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(jeden)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kus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5165FF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6E9FAC8D" w14:textId="77777777" w:rsidR="005165FF" w:rsidRPr="00D25BF9" w:rsidRDefault="005165FF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E2D856D" w14:textId="70842375" w:rsidR="00BE3D74" w:rsidRPr="00D25BF9" w:rsidRDefault="00BE3D74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Jednotkové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možné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§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18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ods.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písm.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343/201</w:t>
      </w:r>
      <w:r w:rsidR="005165FF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obstarávaní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upraviť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dodatkom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dôjde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medi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londýnskej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burze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kovov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London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Metal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Exchange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(LME)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viac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%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porovnaní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východiskovou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bázou,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prepočítanou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EURO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kurzom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platným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deň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medi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burze.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Východisková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báza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referenčnou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medi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burze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42A36" w:rsidRPr="00D25BF9">
        <w:rPr>
          <w:rFonts w:ascii="Garamond" w:hAnsi="Garamond"/>
          <w:sz w:val="20"/>
          <w:szCs w:val="20"/>
        </w:rPr>
        <w:t>6025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00$/t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42A36" w:rsidRPr="00D25BF9">
        <w:rPr>
          <w:rFonts w:ascii="Garamond" w:hAnsi="Garamond"/>
          <w:sz w:val="20"/>
          <w:szCs w:val="20"/>
        </w:rPr>
        <w:t>17</w:t>
      </w:r>
      <w:r w:rsidRPr="00D25BF9">
        <w:rPr>
          <w:rFonts w:ascii="Garamond" w:hAnsi="Garamond"/>
          <w:sz w:val="20"/>
          <w:szCs w:val="20"/>
        </w:rPr>
        <w:t>.0</w:t>
      </w:r>
      <w:r w:rsidR="00E42A36" w:rsidRPr="00D25BF9">
        <w:rPr>
          <w:rFonts w:ascii="Garamond" w:hAnsi="Garamond"/>
          <w:sz w:val="20"/>
          <w:szCs w:val="20"/>
        </w:rPr>
        <w:t>5</w:t>
      </w:r>
      <w:r w:rsidRPr="00D25BF9">
        <w:rPr>
          <w:rFonts w:ascii="Garamond" w:hAnsi="Garamond"/>
          <w:sz w:val="20"/>
          <w:szCs w:val="20"/>
        </w:rPr>
        <w:t>.201</w:t>
      </w:r>
      <w:r w:rsidR="00E42A36" w:rsidRPr="00D25BF9">
        <w:rPr>
          <w:rFonts w:ascii="Garamond" w:hAnsi="Garamond"/>
          <w:sz w:val="20"/>
          <w:szCs w:val="20"/>
        </w:rPr>
        <w:t>9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Túto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skutočnosť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musí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návrhu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cien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preukázať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navrhuje.</w:t>
      </w:r>
    </w:p>
    <w:p w14:paraId="267A0CDE" w14:textId="77777777" w:rsidR="00013130" w:rsidRPr="00D25BF9" w:rsidRDefault="00013130" w:rsidP="00414AFF">
      <w:pPr>
        <w:tabs>
          <w:tab w:val="left" w:pos="709"/>
        </w:tabs>
        <w:spacing w:after="0" w:line="240" w:lineRule="auto"/>
        <w:ind w:left="-11"/>
        <w:contextualSpacing/>
        <w:jc w:val="both"/>
        <w:rPr>
          <w:rFonts w:ascii="Garamond" w:hAnsi="Garamond"/>
          <w:sz w:val="20"/>
          <w:szCs w:val="20"/>
        </w:rPr>
      </w:pPr>
    </w:p>
    <w:p w14:paraId="334C6D9A" w14:textId="69C8854A" w:rsidR="00013130" w:rsidRPr="00D25BF9" w:rsidRDefault="00013130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Právo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riadnym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jednotlivých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oprávnený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príslušného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vystaviť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ktorú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príslušnej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doručí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Objednávateľovi.</w:t>
      </w:r>
    </w:p>
    <w:p w14:paraId="3454C181" w14:textId="77777777" w:rsidR="00BB1E06" w:rsidRPr="00D25BF9" w:rsidRDefault="00BB1E06" w:rsidP="00414AFF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839B96D" w14:textId="7718B784" w:rsidR="00554B32" w:rsidRPr="00D25BF9" w:rsidRDefault="00554B32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  <w:lang w:eastAsia="ar-SA"/>
        </w:rPr>
        <w:t>Faktúra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splatná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v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lehote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60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(šesťdesiat)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dní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odo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dňa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jej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doručenia.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Ak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pripadne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sobotu,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nedeľu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alebo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sviatok,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splatnosť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takejto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posúva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Pracovný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odpísania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fakturovanej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6157554" w14:textId="77777777" w:rsidR="00013130" w:rsidRPr="00D25BF9" w:rsidRDefault="00013130" w:rsidP="00FC2E7B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42DCD3" w14:textId="5AD8FAC8" w:rsidR="00013130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musí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obsahovať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všetky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účtovného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dokladu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§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10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431/2002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účtovníctve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§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74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222/2004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dani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pridanej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hodnoty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evidenčné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číslo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Zmluvy,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ktorou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2262AA" w:rsidRPr="00D25BF9">
        <w:rPr>
          <w:rFonts w:ascii="Garamond" w:hAnsi="Garamond"/>
          <w:iCs/>
          <w:sz w:val="20"/>
          <w:szCs w:val="20"/>
        </w:rPr>
        <w:t>mluva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evidovaná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Objednávateľa</w:t>
      </w:r>
      <w:r w:rsidR="009F58CA" w:rsidRPr="00D25BF9">
        <w:rPr>
          <w:rFonts w:ascii="Garamond" w:hAnsi="Garamond"/>
          <w:iCs/>
          <w:sz w:val="20"/>
          <w:szCs w:val="20"/>
        </w:rPr>
        <w:t>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9F58CA" w:rsidRPr="00D25BF9">
        <w:rPr>
          <w:rFonts w:ascii="Garamond" w:hAnsi="Garamond"/>
          <w:iCs/>
          <w:sz w:val="20"/>
          <w:szCs w:val="20"/>
        </w:rPr>
        <w:t>objednávku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príslušný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dodací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list.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prípade,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ak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nebude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spĺňať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tieto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Objednávateľ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oprávnený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vrátiť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Poskytovateľovi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dopracovanie,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resp.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opravu.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Nová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lehota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splatnosti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začína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plynúť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momentom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doručenia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opravenej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Objednávateľovi</w:t>
      </w:r>
      <w:r w:rsidRPr="00D25BF9">
        <w:rPr>
          <w:rFonts w:ascii="Garamond" w:hAnsi="Garamond"/>
          <w:sz w:val="20"/>
          <w:szCs w:val="20"/>
        </w:rPr>
        <w:t>.</w:t>
      </w:r>
    </w:p>
    <w:p w14:paraId="5E5E32D1" w14:textId="77777777" w:rsidR="00DA7CE7" w:rsidRPr="00D25BF9" w:rsidRDefault="00DA7CE7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012D23A" w14:textId="04B114B2" w:rsidR="006D1681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zverejnený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Zozname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platiteľov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nastali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dôvody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222/2004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pridanej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hodnoty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preukázania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úhrady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príslušný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mesiac/štvrťrok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čestným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bola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splatnosti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výpisu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DPH.</w:t>
      </w:r>
    </w:p>
    <w:p w14:paraId="7525E7C9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4A39F624" w14:textId="2D04FB59" w:rsidR="00013130" w:rsidRPr="00D25BF9" w:rsidRDefault="00013130" w:rsidP="00414AFF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b/>
          <w:sz w:val="20"/>
          <w:szCs w:val="20"/>
        </w:rPr>
        <w:t>VADY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ZÁRUKA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REKLAMÁCIE</w:t>
      </w:r>
    </w:p>
    <w:p w14:paraId="2CA4A11D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2C5ADCD" w14:textId="0133722E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taktiež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34A96A44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5E6F8B" w14:textId="1EA6B5C0" w:rsidR="00013130" w:rsidRPr="00D25BF9" w:rsidRDefault="00D36824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poskytnutá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garantovaná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výrobcom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typov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najmenej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však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24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(dvadsaťštyri)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mesiacov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začína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plynúť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013130" w:rsidRPr="00D25BF9">
        <w:rPr>
          <w:rFonts w:ascii="Garamond" w:eastAsia="Calibri" w:hAnsi="Garamond"/>
          <w:sz w:val="20"/>
          <w:szCs w:val="20"/>
        </w:rPr>
        <w:t>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neplynie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Dodávateľ.</w:t>
      </w:r>
    </w:p>
    <w:p w14:paraId="5BEA143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E167153" w14:textId="1E434E9C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429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nasl.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zákonníka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422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nasl.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zákonníka.</w:t>
      </w:r>
    </w:p>
    <w:p w14:paraId="7E0653D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CB6560" w14:textId="59FE0BF8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Nebezpečenstvo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D36824" w:rsidRPr="00D25BF9">
        <w:rPr>
          <w:rFonts w:ascii="Garamond" w:eastAsia="Calibri" w:hAnsi="Garamond"/>
          <w:sz w:val="20"/>
          <w:szCs w:val="20"/>
        </w:rPr>
        <w:t>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D36824" w:rsidRPr="00D25BF9">
        <w:rPr>
          <w:rFonts w:ascii="Garamond" w:eastAsia="Calibri" w:hAnsi="Garamond"/>
          <w:sz w:val="20"/>
          <w:szCs w:val="20"/>
        </w:rPr>
        <w:t>.</w:t>
      </w:r>
      <w:r w:rsidR="008913F7" w:rsidRPr="00D25BF9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Zmluvy</w:t>
      </w:r>
      <w:r w:rsidRPr="00D25BF9">
        <w:rPr>
          <w:rFonts w:ascii="Garamond" w:eastAsia="Calibri" w:hAnsi="Garamond"/>
          <w:sz w:val="20"/>
          <w:szCs w:val="20"/>
        </w:rPr>
        <w:t>.</w:t>
      </w:r>
    </w:p>
    <w:p w14:paraId="75396BBE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6E75B86" w14:textId="44792B61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ihneď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vykazuje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nekvality,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formou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zmysle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F6995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reklamácii“.</w:t>
      </w:r>
    </w:p>
    <w:p w14:paraId="64AEF520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6FEB779" w14:textId="61C5017C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Prípadné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skrytých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používaní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reklamačným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reklamácii“),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bezodkladne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zistenia,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musí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doložená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originálom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zaslaným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záhlaví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oznámenú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číslo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dodacieho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</w:p>
    <w:p w14:paraId="42E4007D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FF391F4" w14:textId="51A70132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posúdia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zástupcovia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strán,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stanovisko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vybavenia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nevyjadrí,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uznanú.</w:t>
      </w:r>
    </w:p>
    <w:p w14:paraId="7E330F9C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7EAC8F0" w14:textId="2EF74771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vadné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vysporiadať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1C6DF7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</w:t>
      </w:r>
      <w:r w:rsidR="001C6DF7" w:rsidRPr="00D25BF9">
        <w:rPr>
          <w:rFonts w:ascii="Garamond" w:hAnsi="Garamond"/>
          <w:sz w:val="20"/>
          <w:szCs w:val="20"/>
        </w:rPr>
        <w:t>piatich</w:t>
      </w:r>
      <w:r w:rsidRPr="00D25BF9">
        <w:rPr>
          <w:rFonts w:ascii="Garamond" w:hAnsi="Garamond"/>
          <w:sz w:val="20"/>
          <w:szCs w:val="20"/>
        </w:rPr>
        <w:t>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52B5D01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7B9BC394" w14:textId="2EA7D85D" w:rsidR="008B7970" w:rsidRPr="00D25BF9" w:rsidRDefault="008B7970" w:rsidP="00FC2E7B">
      <w:pPr>
        <w:pStyle w:val="Odsekzoznamu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vysporiadať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lehotách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spojených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znášať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neúspešná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vadu.</w:t>
      </w:r>
    </w:p>
    <w:p w14:paraId="3CFD00E5" w14:textId="77777777" w:rsidR="00BF67B7" w:rsidRPr="00D25BF9" w:rsidRDefault="00BF67B7" w:rsidP="00414AFF">
      <w:p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5118360B" w14:textId="08E343EA" w:rsidR="00013130" w:rsidRPr="00D25BF9" w:rsidRDefault="00013130" w:rsidP="00FC2E7B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ZÁRUKY</w:t>
      </w:r>
    </w:p>
    <w:p w14:paraId="28DE3092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6EFA0C14" w14:textId="348F5722" w:rsidR="00C7408B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81B5A" w:rsidRPr="00D25BF9">
        <w:rPr>
          <w:rFonts w:ascii="Garamond" w:eastAsia="Calibri" w:hAnsi="Garamond"/>
          <w:sz w:val="20"/>
          <w:szCs w:val="20"/>
        </w:rPr>
        <w:t>Dodávateľom</w:t>
      </w:r>
      <w:r w:rsidRPr="00D25BF9">
        <w:rPr>
          <w:rFonts w:ascii="Garamond" w:eastAsia="Calibri" w:hAnsi="Garamond"/>
          <w:sz w:val="20"/>
          <w:szCs w:val="20"/>
        </w:rPr>
        <w:t>:</w:t>
      </w:r>
    </w:p>
    <w:p w14:paraId="09AE6091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</w:r>
    </w:p>
    <w:p w14:paraId="01BB538D" w14:textId="61E04F88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</w:p>
    <w:p w14:paraId="0A80F688" w14:textId="77777777" w:rsidR="001E36CA" w:rsidRPr="00D25BF9" w:rsidRDefault="001E36CA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7E7CA1" w14:textId="2F62B755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8913F7" w:rsidRPr="00D25BF9">
        <w:rPr>
          <w:rFonts w:ascii="Garamond" w:hAnsi="Garamond"/>
          <w:sz w:val="20"/>
          <w:szCs w:val="20"/>
          <w:lang w:eastAsia="cs-CZ"/>
        </w:rPr>
        <w:t>[</w:t>
      </w:r>
      <w:r w:rsidR="008913F7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913F7" w:rsidRPr="00D25BF9">
        <w:rPr>
          <w:rFonts w:ascii="Garamond" w:hAnsi="Garamond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zrušeniu;</w:t>
      </w:r>
    </w:p>
    <w:p w14:paraId="5F7FDFF4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7BF7C6D" w14:textId="259ED0B6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uzatvorenie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ukracujúcim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poškodzujúcim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znevýhodňujúcim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úkonom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akémukoľvek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veriteľovi,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súvislosti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najmä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odporovateľným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právnym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úkonom;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8154F98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985A92" w14:textId="01EC35E1" w:rsidR="006D1681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vyšetrovanie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zisťovanie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štátnych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správnych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orgánov,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majetku,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súdny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exekučného,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daňového,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konkurzného,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rozhodcovského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akéhokoľvek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obdobného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skutočnosti,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</w:t>
      </w:r>
      <w:r w:rsidR="006D1681" w:rsidRPr="00D25BF9">
        <w:rPr>
          <w:rFonts w:ascii="Garamond" w:eastAsia="Calibri" w:hAnsi="Garamond"/>
          <w:sz w:val="20"/>
          <w:szCs w:val="20"/>
        </w:rPr>
        <w:t>atiu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takýchto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konaní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proti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nemu;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6F6581D" w14:textId="77777777" w:rsidR="006D1681" w:rsidRPr="00D25BF9" w:rsidRDefault="006D1681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68FF1F" w14:textId="3CD68E55" w:rsidR="006D1681" w:rsidRPr="00D25BF9" w:rsidRDefault="006D1681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noProof/>
          <w:sz w:val="20"/>
          <w:szCs w:val="20"/>
        </w:rPr>
        <w:t>je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zapísaný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Registri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partnerov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verejného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sektora</w:t>
      </w:r>
      <w:r w:rsidR="0033357D" w:rsidRPr="00D25BF9">
        <w:rPr>
          <w:rFonts w:ascii="Garamond" w:hAnsi="Garamond"/>
          <w:noProof/>
          <w:sz w:val="20"/>
          <w:szCs w:val="20"/>
        </w:rPr>
        <w:t>,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pokiaľ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sa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naňho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predmetná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povinnosť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vzťahuje.</w:t>
      </w:r>
    </w:p>
    <w:p w14:paraId="53EF2C66" w14:textId="77777777" w:rsidR="00013130" w:rsidRPr="00D25BF9" w:rsidRDefault="00013130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71963364" w14:textId="58041353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16E48BC" w14:textId="77777777" w:rsidR="00D1457A" w:rsidRPr="00D25BF9" w:rsidRDefault="00D1457A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A3E8987" w14:textId="7E33F61F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výlučným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vlastníkom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3C2EBFCF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88131C7" w14:textId="7ACEA5A8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zaťažený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záložným,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zádržným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predkupným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právom;</w:t>
      </w:r>
    </w:p>
    <w:p w14:paraId="3F5F875E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ED90673" w14:textId="7552235B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neuzatvoril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návrh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uzavretie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osoby;</w:t>
      </w:r>
    </w:p>
    <w:p w14:paraId="76D959CB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7A2B9B8" w14:textId="51F0FA8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nájomnej,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akejkoľvek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môcť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držať,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akýmkoľvek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nakladať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zmluvu;</w:t>
      </w:r>
    </w:p>
    <w:p w14:paraId="408D0749" w14:textId="77777777" w:rsidR="001B3041" w:rsidRPr="00D25BF9" w:rsidRDefault="001B3041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8BB7972" w14:textId="66E5DAA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nový,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funkčný,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nepoužívaný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nepoškodený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nachádza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umožňujúcom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obvyklý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účel;</w:t>
      </w:r>
    </w:p>
    <w:p w14:paraId="2B2EEDB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26192FE" w14:textId="32B3AB4D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postihnutý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exekúciou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uspokojenia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predajom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dražbe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dražbách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doplnení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zákona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Slovenskej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národnej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rady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FC2E7B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notároch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činnosti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(Notársky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poriadok)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predpisov</w:t>
      </w:r>
      <w:r w:rsidRPr="00D25BF9">
        <w:rPr>
          <w:rFonts w:ascii="Garamond" w:eastAsia="Calibri" w:hAnsi="Garamond"/>
          <w:sz w:val="20"/>
          <w:szCs w:val="20"/>
        </w:rPr>
        <w:t>;</w:t>
      </w:r>
    </w:p>
    <w:p w14:paraId="3450DF2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D8CF26C" w14:textId="7CF448FC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určovacie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žaloby,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obmedziť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zmariť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výkon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Objednávateľa;</w:t>
      </w:r>
    </w:p>
    <w:p w14:paraId="433CCF4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0EE7EF65" w14:textId="5372415A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</w:t>
      </w:r>
      <w:r w:rsidR="00013130" w:rsidRPr="00D25BF9">
        <w:rPr>
          <w:rFonts w:ascii="Garamond" w:eastAsia="Calibri" w:hAnsi="Garamond"/>
          <w:sz w:val="20"/>
          <w:szCs w:val="20"/>
        </w:rPr>
        <w:t>exist</w:t>
      </w:r>
      <w:r w:rsidRPr="00D25BF9">
        <w:rPr>
          <w:rFonts w:ascii="Garamond" w:eastAsia="Calibri" w:hAnsi="Garamond"/>
          <w:sz w:val="20"/>
          <w:szCs w:val="20"/>
        </w:rPr>
        <w:t>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faktické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prekážky,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znemožňovali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72D7B6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870120C" w14:textId="67D25DE5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oboznámi</w:t>
      </w:r>
      <w:r w:rsidR="003D1F48" w:rsidRPr="00D25BF9">
        <w:rPr>
          <w:rFonts w:ascii="Garamond" w:eastAsia="Calibri" w:hAnsi="Garamond"/>
          <w:sz w:val="20"/>
          <w:szCs w:val="20"/>
        </w:rPr>
        <w:t>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všetkými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právnymi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týkajúcimi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tieto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pravdivé;</w:t>
      </w:r>
    </w:p>
    <w:p w14:paraId="5E7143FA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A49C40F" w14:textId="5160D908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osobitne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upozorniť;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</w:p>
    <w:p w14:paraId="3AF33F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C6BA21" w14:textId="3DB6260E" w:rsidR="003D1F48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odovzdá</w:t>
      </w:r>
      <w:r w:rsidR="003D1F48" w:rsidRPr="00D25BF9">
        <w:rPr>
          <w:rFonts w:ascii="Garamond" w:eastAsia="Calibri" w:hAnsi="Garamond"/>
          <w:sz w:val="20"/>
          <w:szCs w:val="20"/>
        </w:rPr>
        <w:t>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Tovaru.</w:t>
      </w:r>
    </w:p>
    <w:p w14:paraId="02DF46C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AAA0785" w14:textId="5DEC75F0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berie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vedomie,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podpisovania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neuzatvoril,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nakoľko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vymienil.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77EF560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3C3494B" w14:textId="0545C905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zakladá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odstúpenie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</w:p>
    <w:p w14:paraId="4C90DF64" w14:textId="77777777" w:rsidR="00C7408B" w:rsidRPr="00D25BF9" w:rsidRDefault="00C7408B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CD6DA83" w14:textId="5FB0BD00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81B5A" w:rsidRPr="00D25BF9">
        <w:rPr>
          <w:rFonts w:ascii="Garamond" w:eastAsia="Calibri" w:hAnsi="Garamond"/>
          <w:sz w:val="20"/>
          <w:szCs w:val="20"/>
        </w:rPr>
        <w:t>Objednávateľom</w:t>
      </w:r>
      <w:r w:rsidRPr="00D25BF9">
        <w:rPr>
          <w:rFonts w:ascii="Garamond" w:eastAsia="Calibri" w:hAnsi="Garamond"/>
          <w:sz w:val="20"/>
          <w:szCs w:val="20"/>
        </w:rPr>
        <w:t>:</w:t>
      </w:r>
    </w:p>
    <w:p w14:paraId="0989D5F8" w14:textId="77777777" w:rsidR="00C7408B" w:rsidRPr="00D25BF9" w:rsidRDefault="00C7408B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240AC" w14:textId="3D95E5B7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záväzky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vyplývajúce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0DD7B518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74B0C72" w14:textId="458E077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147CB" w:rsidRPr="00D25BF9">
        <w:rPr>
          <w:rFonts w:ascii="Garamond" w:eastAsia="Calibri" w:hAnsi="Garamond"/>
          <w:sz w:val="20"/>
          <w:szCs w:val="20"/>
        </w:rPr>
        <w:t>a</w:t>
      </w:r>
    </w:p>
    <w:p w14:paraId="05294A22" w14:textId="77777777" w:rsidR="00C7408B" w:rsidRPr="00D25BF9" w:rsidRDefault="00C7408B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C0DB03A" w14:textId="2E81F73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Slovenskej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republiky,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zrušeniu.</w:t>
      </w:r>
    </w:p>
    <w:p w14:paraId="660E3331" w14:textId="77777777" w:rsidR="00D50193" w:rsidRPr="00D25BF9" w:rsidRDefault="00D50193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19EF0E4" w14:textId="1A14F071" w:rsidR="00013130" w:rsidRPr="00D25BF9" w:rsidRDefault="00013130" w:rsidP="00414AFF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98C0A69" w14:textId="77777777" w:rsidR="00013130" w:rsidRPr="00D25BF9" w:rsidRDefault="00013130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73FDBCE" w14:textId="13C1A33C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Objednávateľovi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včas,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</w:t>
      </w:r>
      <w:r w:rsidR="00081B5A" w:rsidRPr="00D25BF9">
        <w:rPr>
          <w:rFonts w:ascii="Garamond" w:eastAsia="Calibri" w:hAnsi="Garamond"/>
          <w:sz w:val="20"/>
          <w:szCs w:val="20"/>
        </w:rPr>
        <w:t>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príslušnej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objednávky</w:t>
      </w:r>
      <w:r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4D3B913" w14:textId="77777777" w:rsidR="002B1738" w:rsidRPr="00D25BF9" w:rsidRDefault="002B1738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02895" w14:textId="5862B227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669A9"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za</w:t>
      </w:r>
      <w:r w:rsidRPr="00D25BF9">
        <w:rPr>
          <w:rFonts w:ascii="Garamond" w:eastAsia="Calibri" w:hAnsi="Garamond"/>
          <w:sz w:val="20"/>
          <w:szCs w:val="20"/>
        </w:rPr>
        <w:t>platením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uhradenie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úrokov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dlžnej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čiastky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</w:p>
    <w:p w14:paraId="3D819F31" w14:textId="77777777" w:rsidR="00013130" w:rsidRPr="00D25BF9" w:rsidRDefault="00013130" w:rsidP="00D25BF9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0C6EC5D6" w14:textId="59A5C148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sz w:val="20"/>
          <w:szCs w:val="20"/>
        </w:rPr>
        <w:t>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reklamovaný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povinnosti</w:t>
      </w:r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7FC82D7" w14:textId="77777777" w:rsidR="006D1681" w:rsidRPr="00D25BF9" w:rsidRDefault="006D1681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A84BCE" w14:textId="367769FE" w:rsidR="00013130" w:rsidRPr="00D25BF9" w:rsidRDefault="00D01FCA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odstúpeniu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dôjde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dôvodu,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schopný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kvalite,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množstve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669A9" w:rsidRPr="00D25BF9">
        <w:rPr>
          <w:rFonts w:ascii="Garamond" w:eastAsia="Calibri" w:hAnsi="Garamond"/>
          <w:sz w:val="20"/>
          <w:szCs w:val="20"/>
        </w:rPr>
        <w:t>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cenu,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ponúkol,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Objednávateľ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Dodávateľa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pokutu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obchodovateľného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objemu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2.</w:t>
      </w:r>
      <w:r w:rsidR="00D25BF9" w:rsidRPr="00D25BF9">
        <w:rPr>
          <w:rFonts w:ascii="Garamond" w:eastAsia="Calibri" w:hAnsi="Garamond"/>
          <w:sz w:val="20"/>
          <w:szCs w:val="20"/>
        </w:rPr>
        <w:t>4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Tým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dotknuté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Objednávateľa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náhradu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škody.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28B1E83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E1E4A1F" w14:textId="2BDF80D7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 w:cs="Arial"/>
          <w:sz w:val="20"/>
          <w:szCs w:val="20"/>
        </w:rPr>
        <w:lastRenderedPageBreak/>
        <w:t>Zmluvné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strany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považujú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takéto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primerané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dostatočne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určité.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Dodávateľ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zaväzuje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uhradiť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Objednávateľ</w:t>
      </w:r>
      <w:r w:rsidR="009271C1" w:rsidRPr="00D25BF9">
        <w:rPr>
          <w:rFonts w:ascii="Garamond" w:eastAsia="Calibri" w:hAnsi="Garamond" w:cs="Arial"/>
          <w:sz w:val="20"/>
          <w:szCs w:val="20"/>
        </w:rPr>
        <w:t>ovi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najneskôr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10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2D3D8C" w:rsidRPr="00D25BF9">
        <w:rPr>
          <w:rFonts w:ascii="Garamond" w:eastAsia="Calibri" w:hAnsi="Garamond" w:cs="Arial"/>
          <w:sz w:val="20"/>
          <w:szCs w:val="20"/>
        </w:rPr>
        <w:t>(desiatich)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 w:cs="Arial"/>
          <w:sz w:val="20"/>
          <w:szCs w:val="20"/>
        </w:rPr>
        <w:t>P</w:t>
      </w:r>
      <w:r w:rsidRPr="00D25BF9">
        <w:rPr>
          <w:rFonts w:ascii="Garamond" w:eastAsia="Calibri" w:hAnsi="Garamond" w:cs="Arial"/>
          <w:sz w:val="20"/>
          <w:szCs w:val="20"/>
        </w:rPr>
        <w:t>racovných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dní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dňa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doručenia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výzvy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zaplatenie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pokuty.</w:t>
      </w:r>
    </w:p>
    <w:p w14:paraId="6B0E92DA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9249E52" w14:textId="6A3CAD29" w:rsidR="00013130" w:rsidRPr="00D25BF9" w:rsidRDefault="008B797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E6FA1" w:rsidRPr="00D25BF9">
        <w:rPr>
          <w:rFonts w:ascii="Garamond" w:eastAsia="Calibri" w:hAnsi="Garamond"/>
          <w:sz w:val="20"/>
          <w:szCs w:val="20"/>
        </w:rPr>
        <w:t>druhej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záväzkového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</w:t>
      </w:r>
      <w:r w:rsidR="00EE6FA1" w:rsidRPr="00D25BF9">
        <w:rPr>
          <w:rFonts w:ascii="Garamond" w:eastAsia="Calibri" w:hAnsi="Garamond"/>
          <w:sz w:val="20"/>
          <w:szCs w:val="20"/>
        </w:rPr>
        <w:t>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nahradiť,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ibaže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preukáže,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bolo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okolnosťami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vylučujúcimi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zodpovednosť.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náhrade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postupovať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373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nasl.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zákonníka.</w:t>
      </w:r>
    </w:p>
    <w:p w14:paraId="7CDA83A1" w14:textId="77777777" w:rsidR="00C7408B" w:rsidRPr="00D25BF9" w:rsidRDefault="00C7408B" w:rsidP="00FC2E7B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65F8C181" w14:textId="3263739F" w:rsidR="00013130" w:rsidRPr="00D25BF9" w:rsidRDefault="00BF67B7" w:rsidP="00414AFF">
      <w:pPr>
        <w:keepNext/>
        <w:numPr>
          <w:ilvl w:val="0"/>
          <w:numId w:val="4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1324622F" w14:textId="77777777" w:rsidR="00013130" w:rsidRPr="00D25BF9" w:rsidRDefault="00013130" w:rsidP="00FC2E7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75D76343" w14:textId="64D16492" w:rsidR="00013130" w:rsidRPr="00D25BF9" w:rsidRDefault="00ED09FF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akákoľvek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komunikácia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úkony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súvislosti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musia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byť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urobené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záhlaví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kontaktné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osoby,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navzájom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oznámia.</w:t>
      </w:r>
    </w:p>
    <w:p w14:paraId="6307F86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6ACB38" w14:textId="0BBD3B67" w:rsidR="00013130" w:rsidRPr="00D25BF9" w:rsidRDefault="00EE6FA1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Korešpondencia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považovať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doručenú</w:t>
      </w:r>
      <w:r w:rsidR="00013130" w:rsidRPr="00D25BF9">
        <w:rPr>
          <w:rFonts w:ascii="Garamond" w:hAnsi="Garamond"/>
          <w:sz w:val="20"/>
          <w:szCs w:val="20"/>
        </w:rPr>
        <w:t>:</w:t>
      </w:r>
    </w:p>
    <w:p w14:paraId="08BA5313" w14:textId="77777777" w:rsidR="00F15E0A" w:rsidRPr="00D25BF9" w:rsidRDefault="00F15E0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C030C78" w14:textId="44E240B9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kuriérnou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službou;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C022B5E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466B79" w14:textId="7C75DE8F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5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(piaty)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poslaná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doporučenou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toho,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skôr;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A95CEE3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7E2E6F" w14:textId="0BF387A0" w:rsidR="00013130" w:rsidRPr="00D25BF9" w:rsidRDefault="00EE6FA1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ktorýkoľvek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ostatných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prípadoch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nedohodli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</w:t>
      </w:r>
      <w:r w:rsidR="00013130" w:rsidRPr="00D25BF9">
        <w:rPr>
          <w:rFonts w:ascii="Garamond" w:hAnsi="Garamond"/>
          <w:sz w:val="20"/>
          <w:szCs w:val="20"/>
          <w:lang w:eastAsia="cs-CZ"/>
        </w:rPr>
        <w:t>.</w:t>
      </w:r>
    </w:p>
    <w:p w14:paraId="19110648" w14:textId="77777777" w:rsidR="006D6246" w:rsidRPr="00D25BF9" w:rsidRDefault="006D6246" w:rsidP="00414AFF">
      <w:pPr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4A625ED" w14:textId="5B80FA2E" w:rsidR="006D6246" w:rsidRPr="00D25BF9" w:rsidRDefault="006D6246" w:rsidP="00414AFF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identifikačných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(piatich)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realizácie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týchto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zmien.</w:t>
      </w:r>
    </w:p>
    <w:p w14:paraId="6B32DB39" w14:textId="77777777" w:rsidR="006D6246" w:rsidRPr="00D25BF9" w:rsidRDefault="006D6246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7C81157" w14:textId="5963C258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ZÁNIK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ZMLUVY</w:t>
      </w:r>
    </w:p>
    <w:p w14:paraId="514E3F93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05248D34" w14:textId="424A00B3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1440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8B7970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uzatvára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dobu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určitú:</w:t>
      </w:r>
    </w:p>
    <w:p w14:paraId="41AD9BBD" w14:textId="77777777" w:rsidR="00FC2E7B" w:rsidRPr="00D25BF9" w:rsidRDefault="00FC2E7B" w:rsidP="00FC2E7B">
      <w:pPr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73E05FEE" w14:textId="4387895D" w:rsidR="008B7970" w:rsidRPr="00D25BF9" w:rsidRDefault="008B7970" w:rsidP="00FC2E7B">
      <w:pPr>
        <w:pStyle w:val="Odsekzoznamu"/>
        <w:numPr>
          <w:ilvl w:val="0"/>
          <w:numId w:val="39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24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(dvadsaťštyri)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mesiacov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</w:p>
    <w:p w14:paraId="610C2719" w14:textId="77777777" w:rsidR="00FC2E7B" w:rsidRPr="00D25BF9" w:rsidRDefault="00FC2E7B" w:rsidP="00FC2E7B">
      <w:pPr>
        <w:tabs>
          <w:tab w:val="left" w:pos="0"/>
          <w:tab w:val="left" w:pos="1418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6B3536A9" w14:textId="5CDE8E76" w:rsidR="008B7970" w:rsidRPr="00D25BF9" w:rsidRDefault="008B7970" w:rsidP="00FC2E7B">
      <w:pPr>
        <w:pStyle w:val="Odsekzoznamu"/>
        <w:numPr>
          <w:ilvl w:val="0"/>
          <w:numId w:val="39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vyčerpania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obchodovateľného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Zmluvy;</w:t>
      </w:r>
    </w:p>
    <w:p w14:paraId="5B7631D6" w14:textId="51B9DDB5" w:rsidR="008B7970" w:rsidRPr="00D25BF9" w:rsidRDefault="008B797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53835123" w14:textId="0A3E927D" w:rsidR="008B7970" w:rsidRPr="00D25BF9" w:rsidRDefault="00414AFF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ab/>
      </w:r>
      <w:r w:rsidR="008B7970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toho,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uvedených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skutočností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nastane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skôr.</w:t>
      </w:r>
    </w:p>
    <w:p w14:paraId="378A861C" w14:textId="77777777" w:rsidR="006D6246" w:rsidRPr="00D25BF9" w:rsidRDefault="006D6246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16B48E0" w14:textId="5A71303E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ukončená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skôr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Pr="00D25BF9">
        <w:rPr>
          <w:rFonts w:ascii="Garamond" w:hAnsi="Garamond" w:cs="Arial"/>
          <w:sz w:val="20"/>
          <w:szCs w:val="20"/>
        </w:rPr>
        <w:t>.1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okamžitým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dôvodov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bo</w:t>
      </w:r>
      <w:r w:rsidR="007C577A" w:rsidRPr="00D25BF9">
        <w:rPr>
          <w:rFonts w:ascii="Garamond" w:hAnsi="Garamond" w:cs="Arial"/>
          <w:sz w:val="20"/>
          <w:szCs w:val="20"/>
        </w:rPr>
        <w:t>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9.3,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9.4,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9.5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.8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tohto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.10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písomnou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dohodou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Zmluvnýc</w:t>
      </w:r>
      <w:r w:rsidR="001C6DF7" w:rsidRPr="00D25BF9">
        <w:rPr>
          <w:rFonts w:ascii="Garamond" w:hAnsi="Garamond" w:cs="Arial"/>
          <w:sz w:val="20"/>
          <w:szCs w:val="20"/>
        </w:rPr>
        <w:t>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strán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tohto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.11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Zmluvy.</w:t>
      </w:r>
    </w:p>
    <w:p w14:paraId="4BD7A3D9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14880B" w14:textId="1D8687F3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ostatných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osobitných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predpisoch.</w:t>
      </w:r>
    </w:p>
    <w:p w14:paraId="4FB3C930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EE958B" w14:textId="2711D15A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ak:</w:t>
      </w:r>
    </w:p>
    <w:p w14:paraId="4FEBAAB2" w14:textId="77777777" w:rsidR="00013130" w:rsidRPr="00D25BF9" w:rsidRDefault="00013130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004728" w14:textId="0935E505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</w:t>
      </w:r>
      <w:r w:rsidR="00D01FCA" w:rsidRPr="00D25BF9">
        <w:rPr>
          <w:rFonts w:ascii="Garamond" w:hAnsi="Garamond"/>
          <w:sz w:val="20"/>
          <w:szCs w:val="20"/>
        </w:rPr>
        <w:t>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nedodrží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dodaciu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</w:t>
      </w:r>
      <w:r w:rsidR="00D01FCA"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Pr="00D25BF9">
        <w:rPr>
          <w:rFonts w:ascii="Garamond" w:hAnsi="Garamond"/>
          <w:sz w:val="20"/>
          <w:szCs w:val="20"/>
        </w:rPr>
        <w:t>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68B690DC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3EE04521" w14:textId="0B9BD89C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zodpovedať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vlastnostiam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3CC8CA78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0C425E" w14:textId="5134A2F9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nevybaví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</w:t>
      </w:r>
      <w:r w:rsidR="00420415" w:rsidRPr="00D25BF9">
        <w:rPr>
          <w:rFonts w:ascii="Garamond" w:hAnsi="Garamond"/>
          <w:sz w:val="20"/>
          <w:szCs w:val="20"/>
        </w:rPr>
        <w:t>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Objednávateľ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náprave;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A05226" w:rsidRPr="00D25BF9">
        <w:rPr>
          <w:rFonts w:ascii="Garamond" w:hAnsi="Garamond"/>
          <w:sz w:val="20"/>
          <w:szCs w:val="20"/>
        </w:rPr>
        <w:t>/alebo</w:t>
      </w:r>
    </w:p>
    <w:p w14:paraId="375B1C1E" w14:textId="77777777" w:rsidR="00013130" w:rsidRPr="00D25BF9" w:rsidRDefault="00013130" w:rsidP="00FC2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D526A10" w14:textId="2FD7FE9A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DBBC660" w14:textId="77777777" w:rsidR="00D01FCA" w:rsidRPr="00D25BF9" w:rsidRDefault="00D01FC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B60D31" w14:textId="066B48DC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</w:p>
    <w:p w14:paraId="2E24F31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8F38A3" w14:textId="4BAB1D1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Výzvy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musia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doručovanie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písomností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.</w:t>
      </w:r>
    </w:p>
    <w:p w14:paraId="437C9949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E1157B8" w14:textId="69A71130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nadobudne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oznámenia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druhej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strane.</w:t>
      </w:r>
    </w:p>
    <w:p w14:paraId="1A5EEB4A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6752743" w14:textId="546DE467" w:rsidR="00FE4CD4" w:rsidRPr="00D25BF9" w:rsidRDefault="00FE4CD4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zverejnenia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Zozname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platiteľov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DPH,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nastali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registrácie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222/2004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dani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pridanej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hodnoty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znení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neskorších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predpisov.</w:t>
      </w:r>
    </w:p>
    <w:p w14:paraId="177003B8" w14:textId="77777777" w:rsidR="00FE4CD4" w:rsidRPr="00D25BF9" w:rsidRDefault="00FE4CD4" w:rsidP="00414AF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63EE071" w14:textId="0CAC45A8" w:rsidR="00C37819" w:rsidRPr="00D25BF9" w:rsidRDefault="00C37819" w:rsidP="00FC2E7B">
      <w:pPr>
        <w:pStyle w:val="Odsekzoznamu"/>
        <w:numPr>
          <w:ilvl w:val="1"/>
          <w:numId w:val="4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zaniká,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teda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všetky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vyplývajú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Odstúpenie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nedotýka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pokuty,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náhradu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škody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vzniknutej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všetkých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ostatných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strán,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vzhľadom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svoju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zánikom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nezanikajú</w:t>
      </w:r>
      <w:r w:rsidRPr="00D25BF9">
        <w:rPr>
          <w:rFonts w:ascii="Garamond" w:eastAsia="Times New Roman" w:hAnsi="Garamond" w:cs="Arial"/>
          <w:sz w:val="20"/>
          <w:szCs w:val="20"/>
        </w:rPr>
        <w:t>.</w:t>
      </w:r>
    </w:p>
    <w:p w14:paraId="494224B8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0987887B" w14:textId="34434E47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Objednávateľ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bez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udania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zaslaním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sídla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lehota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(jeden)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začína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plynúť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prvým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nasledujúceho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bola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výpoveď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Dodávateľovi.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potvrdené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stranami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pred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dátumom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odoslania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Dodávateľovi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zostávajú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platné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budú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vybavené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Zmluvy</w:t>
      </w:r>
    </w:p>
    <w:p w14:paraId="2F8B7DC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37244F1" w14:textId="5B7B9615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USTANOVENIA</w:t>
      </w:r>
    </w:p>
    <w:p w14:paraId="01CBC95E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01F8B959" w14:textId="57E1B3F5" w:rsidR="00013130" w:rsidRPr="00D25BF9" w:rsidRDefault="005D1E0D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hanging="1440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Zmluva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nadobúda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účinnosť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nasleduj</w:t>
      </w:r>
      <w:r w:rsidR="00420415" w:rsidRPr="00D25BF9">
        <w:rPr>
          <w:rFonts w:ascii="Garamond" w:hAnsi="Garamond" w:cs="Edwardian Script ITC"/>
          <w:sz w:val="20"/>
          <w:szCs w:val="20"/>
        </w:rPr>
        <w:t>ú</w:t>
      </w:r>
      <w:r w:rsidR="00420415" w:rsidRPr="00D25BF9">
        <w:rPr>
          <w:rFonts w:ascii="Garamond" w:hAnsi="Garamond"/>
          <w:sz w:val="20"/>
          <w:szCs w:val="20"/>
        </w:rPr>
        <w:t>cim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dni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zverejnenia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§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47a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Občianskeho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zákonníka</w:t>
      </w:r>
      <w:r w:rsidRPr="00D25BF9">
        <w:rPr>
          <w:rFonts w:ascii="Garamond" w:hAnsi="Garamond"/>
          <w:sz w:val="20"/>
          <w:szCs w:val="20"/>
        </w:rPr>
        <w:t>.</w:t>
      </w:r>
    </w:p>
    <w:p w14:paraId="3DEB4687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6A1F956E" w14:textId="50BA5991" w:rsidR="00C7408B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ustanoveniami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Obchodného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zákonníka.</w:t>
      </w:r>
    </w:p>
    <w:p w14:paraId="6BC4E922" w14:textId="77777777" w:rsidR="00F15E0A" w:rsidRPr="00D25BF9" w:rsidRDefault="00F15E0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8B47E5E" w14:textId="0B303EF2" w:rsidR="00013130" w:rsidRPr="00D25BF9" w:rsidRDefault="00D01FC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</w:t>
      </w:r>
      <w:r w:rsidR="00013130" w:rsidRPr="00D25BF9">
        <w:rPr>
          <w:rFonts w:ascii="Garamond" w:hAnsi="Garamond" w:cs="Arial"/>
          <w:sz w:val="20"/>
          <w:szCs w:val="20"/>
        </w:rPr>
        <w:t>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vznikajúce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právnym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poriadkom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republiky.</w:t>
      </w:r>
    </w:p>
    <w:p w14:paraId="1F60BB1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65A15" w14:textId="5305757E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dohodli,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akýkoľvek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spor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vzniknutý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súvislosti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vrátane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otázok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platnosti,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výkladu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rozhodnutý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republike.</w:t>
      </w:r>
    </w:p>
    <w:p w14:paraId="6522302D" w14:textId="77777777" w:rsidR="001B3041" w:rsidRPr="00D25BF9" w:rsidRDefault="001B3041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05AE257" w14:textId="33B8BA91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prechádzajú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nástupcov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previesť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tretiu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osobu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predchádzajúceho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písomného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strany.</w:t>
      </w:r>
    </w:p>
    <w:p w14:paraId="1CA40CF2" w14:textId="77777777" w:rsidR="004A0215" w:rsidRPr="00D25BF9" w:rsidRDefault="004A0215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9AA01DE" w14:textId="4B9BA5A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jedine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formou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písomných,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očíslovaných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dodatkov,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podpísaných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Zmluvnými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stranami.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</w:p>
    <w:p w14:paraId="2A166875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40CBACB" w14:textId="361E16D1" w:rsidR="00013130" w:rsidRPr="00D25BF9" w:rsidRDefault="00081B5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dohodli,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predpisy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pripúšťajú,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vylučujú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Dodávateľa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svoju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Objednávateľovi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Objednávateľa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Dodávateľovi.</w:t>
      </w:r>
    </w:p>
    <w:p w14:paraId="69568707" w14:textId="77777777" w:rsidR="00A03F4F" w:rsidRPr="00D25BF9" w:rsidRDefault="00A03F4F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766B98B" w14:textId="6FC91735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kedykoľvek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Dodávateľovi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ohľadu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čase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splatná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nie),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Objednávateľovi.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denominované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rôznych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menách,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účely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čiastku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pohľadávky,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pričom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použije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výmenný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kurz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stanovený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kurzovom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lístku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publikovanom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Európskou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centrálnou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bankou.</w:t>
      </w:r>
    </w:p>
    <w:p w14:paraId="5AE8BB0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D5BB17E" w14:textId="10E6C52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nezodpovedá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nesplnenie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svojej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dôjde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nepredvídateľnej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ovplyvniť,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najmä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živelnej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pohrome,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vojne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občianskym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nepokojom,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nedostatku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surovín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sabotáži,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štrajku,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inému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prípadu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tzv.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„vyššej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moci“.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nemožnosť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plnenia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bezodkladne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oznámiť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takejto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bude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možné.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odstránení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povinnosti.</w:t>
      </w:r>
    </w:p>
    <w:p w14:paraId="31B50039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7D64F32" w14:textId="33385B25" w:rsidR="00013130" w:rsidRPr="00D25BF9" w:rsidRDefault="00414AFF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 xml:space="preserve">V </w:t>
      </w:r>
      <w:r w:rsidRPr="00D25BF9">
        <w:rPr>
          <w:rFonts w:ascii="Garamond" w:hAnsi="Garamond"/>
          <w:sz w:val="20"/>
          <w:szCs w:val="20"/>
        </w:rPr>
        <w:t>prípade</w:t>
      </w:r>
      <w:r w:rsidRPr="00D25BF9">
        <w:rPr>
          <w:rFonts w:ascii="Garamond" w:hAnsi="Garamond" w:cs="Garamond"/>
          <w:sz w:val="20"/>
          <w:szCs w:val="20"/>
        </w:rPr>
        <w:t>, ak sa niektoré z ustanovení Zmluvy stane neplatným alebo nevymáhateľným, nemá takáto neplatnosť alebo nevymáhateľnosť niektorého z ustanovení Zmluvy vplyv na platnosť a vykonateľnosť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="00013130" w:rsidRPr="00D25BF9">
        <w:rPr>
          <w:rFonts w:ascii="Garamond" w:hAnsi="Garamond" w:cs="Garamond"/>
          <w:sz w:val="20"/>
          <w:szCs w:val="20"/>
        </w:rPr>
        <w:t>.</w:t>
      </w:r>
    </w:p>
    <w:p w14:paraId="43A8E564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174F7F5" w14:textId="0030D34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zhodne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prehlasujú,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riadne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prečítali,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porozumeli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obsahu,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dostatočne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zrozumiteľný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určitý,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vyjadruje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slobodnú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vážnu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vôľu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akýchkoľvek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omylov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(iv)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nebola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uzavretá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tiesni,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nápadne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nevýhodných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podmienok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plynúcich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znak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vlastnoručne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podpisujú.</w:t>
      </w:r>
    </w:p>
    <w:p w14:paraId="3F59488C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F40F4D4" w14:textId="6FE4FD09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vyhotovená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5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(piatich)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rovnopisoch,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všetky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platnosť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originálu.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Objednávateľ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3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(tri)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Dodávateľ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2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(dva)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rovnopisy.</w:t>
      </w:r>
    </w:p>
    <w:p w14:paraId="479E3240" w14:textId="77777777" w:rsidR="00FC2E7B" w:rsidRPr="00D25BF9" w:rsidRDefault="00FC2E7B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A0A9E89" w14:textId="1AFAA92E" w:rsidR="00FC2E7B" w:rsidRPr="00D25BF9" w:rsidRDefault="00FC2E7B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  <w:r w:rsidRPr="00D25BF9">
        <w:rPr>
          <w:rFonts w:ascii="Garamond" w:hAnsi="Garamond" w:cs="Arial"/>
          <w:sz w:val="20"/>
          <w:szCs w:val="20"/>
          <w:u w:val="single"/>
        </w:rPr>
        <w:t>Prílohy Zmluvy</w:t>
      </w:r>
      <w:r w:rsidRPr="00D25BF9">
        <w:rPr>
          <w:rFonts w:ascii="Garamond" w:hAnsi="Garamond" w:cs="Arial"/>
          <w:sz w:val="20"/>
          <w:szCs w:val="20"/>
        </w:rPr>
        <w:t>:</w:t>
      </w:r>
    </w:p>
    <w:p w14:paraId="209617AC" w14:textId="77777777" w:rsidR="00FC2E7B" w:rsidRPr="00D25BF9" w:rsidRDefault="00FC2E7B" w:rsidP="00FC2E7B">
      <w:pPr>
        <w:tabs>
          <w:tab w:val="left" w:pos="426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6816ADE5" w14:textId="2E55CC63" w:rsidR="00013130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013130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1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8913F7" w:rsidRPr="00D25BF9">
        <w:rPr>
          <w:rFonts w:ascii="Garamond" w:hAnsi="Garamond" w:cs="Arial"/>
          <w:sz w:val="20"/>
          <w:szCs w:val="20"/>
        </w:rPr>
        <w:t>Špecifikácia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sz w:val="20"/>
          <w:szCs w:val="20"/>
        </w:rPr>
        <w:t>Tovaru</w:t>
      </w:r>
    </w:p>
    <w:p w14:paraId="60A5F4A9" w14:textId="0F5D71E5" w:rsidR="003F7A7C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2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Preberací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protokol</w:t>
      </w:r>
    </w:p>
    <w:p w14:paraId="74546D3D" w14:textId="77777777" w:rsidR="0013662B" w:rsidRPr="00D25BF9" w:rsidRDefault="0013662B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br w:type="page"/>
      </w:r>
    </w:p>
    <w:p w14:paraId="1E0CB236" w14:textId="6689EDCC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1</w:t>
      </w:r>
    </w:p>
    <w:p w14:paraId="6D1B4B04" w14:textId="77777777" w:rsidR="00D25BF9" w:rsidRP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81D8474" w14:textId="6B5D15D4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ŠPECIFIKÁCIA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b/>
          <w:sz w:val="20"/>
          <w:szCs w:val="20"/>
        </w:rPr>
        <w:t>TOVARU</w:t>
      </w:r>
    </w:p>
    <w:p w14:paraId="4F6F47E2" w14:textId="777777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7B257899" w14:textId="21F96F9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Predmetom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Zmluvy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je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dodanie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nižšie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uvedeného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Tovaru: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67907B11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2CCE3430" w14:textId="4F7C2CF1" w:rsidR="00282C25" w:rsidRPr="00D25BF9" w:rsidRDefault="00282C25" w:rsidP="00FC2E7B">
      <w:pPr>
        <w:pStyle w:val="Default"/>
        <w:rPr>
          <w:rFonts w:ascii="Garamond" w:hAnsi="Garamond"/>
          <w:b/>
          <w:sz w:val="20"/>
          <w:szCs w:val="20"/>
          <w:lang w:val="sk-SK"/>
        </w:rPr>
      </w:pPr>
      <w:r w:rsidRPr="00D25BF9">
        <w:rPr>
          <w:rFonts w:ascii="Garamond" w:hAnsi="Garamond"/>
          <w:b/>
          <w:sz w:val="20"/>
          <w:szCs w:val="20"/>
          <w:lang w:val="sk-SK"/>
        </w:rPr>
        <w:t>Technické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val="sk-SK"/>
        </w:rPr>
        <w:t>údaje: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</w:p>
    <w:p w14:paraId="38BF009C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7DB4D652" w14:textId="5FCAA36D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Trolejový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drážkovaný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medený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drôt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prímesou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striebra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Cu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Ag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="00D25BF9" w:rsidRPr="00D25BF9">
        <w:rPr>
          <w:rFonts w:ascii="Garamond" w:hAnsi="Garamond"/>
          <w:sz w:val="20"/>
          <w:szCs w:val="20"/>
          <w:lang w:val="sk-SK"/>
        </w:rPr>
        <w:t>s prierezom</w:t>
      </w:r>
      <w:r w:rsidRPr="00D25BF9">
        <w:rPr>
          <w:rFonts w:ascii="Garamond" w:hAnsi="Garamond"/>
          <w:sz w:val="20"/>
          <w:szCs w:val="20"/>
          <w:lang w:val="sk-SK"/>
        </w:rPr>
        <w:t>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39BAAA7C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082333F1" w14:textId="0C56E901" w:rsidR="00D25BF9" w:rsidRPr="00D25BF9" w:rsidRDefault="00282C25" w:rsidP="00D25BF9">
      <w:pPr>
        <w:pStyle w:val="Default"/>
        <w:numPr>
          <w:ilvl w:val="0"/>
          <w:numId w:val="44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b/>
          <w:bCs/>
          <w:sz w:val="20"/>
          <w:szCs w:val="20"/>
          <w:lang w:val="sk-SK"/>
        </w:rPr>
        <w:t>100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  <w:lang w:val="sk-SK"/>
        </w:rPr>
        <w:t>mm²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v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predpokladanom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množstve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6000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kg</w:t>
      </w:r>
      <w:r w:rsidR="00D25BF9" w:rsidRPr="00D25BF9">
        <w:rPr>
          <w:rFonts w:ascii="Garamond" w:hAnsi="Garamond"/>
          <w:sz w:val="20"/>
          <w:szCs w:val="20"/>
          <w:lang w:val="sk-SK"/>
        </w:rPr>
        <w:t>; a</w:t>
      </w:r>
    </w:p>
    <w:p w14:paraId="274DBF66" w14:textId="77777777" w:rsidR="00D25BF9" w:rsidRPr="00D25BF9" w:rsidRDefault="00D25BF9" w:rsidP="00D25BF9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4ED191B" w14:textId="0610E9A5" w:rsidR="00282C25" w:rsidRPr="00D25BF9" w:rsidRDefault="00282C25" w:rsidP="00D25BF9">
      <w:pPr>
        <w:pStyle w:val="Default"/>
        <w:numPr>
          <w:ilvl w:val="0"/>
          <w:numId w:val="44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b/>
          <w:bCs/>
          <w:sz w:val="20"/>
          <w:szCs w:val="20"/>
          <w:lang w:val="sk-SK"/>
        </w:rPr>
        <w:t>150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  <w:lang w:val="sk-SK"/>
        </w:rPr>
        <w:t>mm²</w:t>
      </w:r>
      <w:r w:rsidR="00FC2E7B" w:rsidRPr="00D25BF9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v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predpokladanom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množstve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3000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kg</w:t>
      </w:r>
      <w:r w:rsidR="00D25BF9" w:rsidRPr="00D25BF9">
        <w:rPr>
          <w:rFonts w:ascii="Garamond" w:hAnsi="Garamond"/>
          <w:sz w:val="20"/>
          <w:szCs w:val="20"/>
          <w:lang w:val="sk-SK"/>
        </w:rPr>
        <w:t>.</w:t>
      </w:r>
    </w:p>
    <w:p w14:paraId="66E8EC56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0BF7CAE" w14:textId="4788A3DB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Predmetný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drôt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musí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spĺňať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nasledujúce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normy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alebo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ich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ekvivalenty: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54DEA12A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D1EE618" w14:textId="5B2039CF" w:rsidR="00282C25" w:rsidRPr="00D25BF9" w:rsidRDefault="00282C25" w:rsidP="00D25BF9">
      <w:pPr>
        <w:pStyle w:val="Default"/>
        <w:numPr>
          <w:ilvl w:val="0"/>
          <w:numId w:val="45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materiálovú: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STN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42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3001.31</w:t>
      </w:r>
      <w:r w:rsidR="00D25BF9">
        <w:rPr>
          <w:rFonts w:ascii="Garamond" w:hAnsi="Garamond"/>
          <w:sz w:val="20"/>
          <w:szCs w:val="20"/>
          <w:lang w:val="sk-SK"/>
        </w:rPr>
        <w:t>;</w:t>
      </w:r>
    </w:p>
    <w:p w14:paraId="65ECB58D" w14:textId="77777777" w:rsidR="00D25BF9" w:rsidRDefault="00D25BF9" w:rsidP="00D25BF9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6E0F5EFD" w14:textId="35FC62EE" w:rsidR="00D25BF9" w:rsidRPr="00D25BF9" w:rsidRDefault="00282C25" w:rsidP="00D25BF9">
      <w:pPr>
        <w:pStyle w:val="Default"/>
        <w:numPr>
          <w:ilvl w:val="0"/>
          <w:numId w:val="45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technickú: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STN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42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1318.00</w:t>
      </w:r>
      <w:r w:rsidR="00D25BF9">
        <w:rPr>
          <w:rFonts w:ascii="Garamond" w:hAnsi="Garamond"/>
          <w:sz w:val="20"/>
          <w:szCs w:val="20"/>
          <w:lang w:val="sk-SK"/>
        </w:rPr>
        <w:t>; a</w:t>
      </w:r>
    </w:p>
    <w:p w14:paraId="58CAB974" w14:textId="77777777" w:rsidR="00D25BF9" w:rsidRDefault="00D25BF9" w:rsidP="00D25BF9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27210ABF" w14:textId="39B7C528" w:rsidR="00282C25" w:rsidRPr="00D25BF9" w:rsidRDefault="00282C25" w:rsidP="00D25BF9">
      <w:pPr>
        <w:pStyle w:val="Default"/>
        <w:numPr>
          <w:ilvl w:val="0"/>
          <w:numId w:val="45"/>
        </w:numPr>
        <w:ind w:hanging="720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rozmerovú: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="00406E5B">
        <w:rPr>
          <w:rFonts w:ascii="Garamond" w:hAnsi="Garamond"/>
          <w:sz w:val="20"/>
          <w:szCs w:val="20"/>
          <w:lang w:val="sk-SK"/>
        </w:rPr>
        <w:t>DIN EN 50149 profile  ČSN 42 8460</w:t>
      </w:r>
    </w:p>
    <w:p w14:paraId="39A5FD8E" w14:textId="77777777" w:rsidR="00282C25" w:rsidRPr="00D25BF9" w:rsidRDefault="00282C25" w:rsidP="00FC2E7B">
      <w:pPr>
        <w:tabs>
          <w:tab w:val="left" w:pos="426"/>
        </w:tabs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2FFD04F5" w14:textId="777777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026"/>
        <w:gridCol w:w="465"/>
        <w:gridCol w:w="2436"/>
      </w:tblGrid>
      <w:tr w:rsidR="00282C25" w:rsidRPr="00D25BF9" w14:paraId="67EF0D7C" w14:textId="77777777" w:rsidTr="001806CC">
        <w:trPr>
          <w:trHeight w:val="63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8B3F2B7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4A730370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Por.č.</w:t>
            </w:r>
          </w:p>
          <w:p w14:paraId="3957B8EE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55E42BF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C3393B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Názov</w:t>
            </w:r>
          </w:p>
          <w:p w14:paraId="21B7D1B1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23F43BD5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BA82D9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m.j.</w:t>
            </w:r>
          </w:p>
          <w:p w14:paraId="2DEB2566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31067E9E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61342E97" w14:textId="6CC5622B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Cena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EUR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bez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DPH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za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1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m.j.</w:t>
            </w:r>
          </w:p>
          <w:p w14:paraId="29EC43BA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82C25" w:rsidRPr="00D25BF9" w14:paraId="6E87F0BB" w14:textId="77777777" w:rsidTr="001806C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2DC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D294" w14:textId="2BF8632F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D25BF9">
              <w:rPr>
                <w:rFonts w:ascii="Garamond" w:hAnsi="Garamond"/>
                <w:sz w:val="20"/>
              </w:rPr>
              <w:t>Trolejový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drôt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medený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prímesou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striebra,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prierez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100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mm</w:t>
            </w:r>
            <w:r w:rsidRPr="00D25BF9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DB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kg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41B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  <w:t>[doplniť]</w:t>
            </w:r>
          </w:p>
        </w:tc>
      </w:tr>
      <w:tr w:rsidR="00282C25" w:rsidRPr="00D25BF9" w14:paraId="2B719BEA" w14:textId="77777777" w:rsidTr="001806CC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65D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E54C" w14:textId="07FD2122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 w:rsidRPr="00D25BF9">
              <w:rPr>
                <w:rFonts w:ascii="Garamond" w:hAnsi="Garamond"/>
                <w:sz w:val="20"/>
              </w:rPr>
              <w:t>Trolejový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drôt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medený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prímesou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striebra,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prierez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150</w:t>
            </w:r>
            <w:r w:rsidR="00FC2E7B" w:rsidRPr="00D25BF9">
              <w:rPr>
                <w:rFonts w:ascii="Garamond" w:hAnsi="Garamond"/>
                <w:sz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</w:rPr>
              <w:t>mm</w:t>
            </w:r>
            <w:r w:rsidRPr="00D25BF9">
              <w:rPr>
                <w:rFonts w:ascii="Garamond" w:hAnsi="Garamond"/>
                <w:sz w:val="20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63A9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kg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613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  <w:t>[doplniť]</w:t>
            </w:r>
          </w:p>
        </w:tc>
      </w:tr>
    </w:tbl>
    <w:p w14:paraId="22975FFC" w14:textId="581819C3" w:rsidR="00EF5901" w:rsidRPr="00D25BF9" w:rsidRDefault="00EF5901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</w:rPr>
      </w:pPr>
    </w:p>
    <w:p w14:paraId="2FA12D86" w14:textId="77777777" w:rsidR="00EF5901" w:rsidRPr="00D25BF9" w:rsidRDefault="00EF5901">
      <w:pPr>
        <w:rPr>
          <w:rFonts w:ascii="Garamond" w:hAnsi="Garamond"/>
          <w:b/>
          <w:sz w:val="20"/>
        </w:rPr>
      </w:pPr>
      <w:r w:rsidRPr="00D25BF9">
        <w:rPr>
          <w:rFonts w:ascii="Garamond" w:hAnsi="Garamond"/>
          <w:b/>
          <w:sz w:val="20"/>
        </w:rPr>
        <w:br w:type="page"/>
      </w:r>
    </w:p>
    <w:p w14:paraId="468865F4" w14:textId="0BF03C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 </w:t>
      </w:r>
      <w:r w:rsidRPr="00D25BF9">
        <w:rPr>
          <w:rFonts w:ascii="Garamond" w:hAnsi="Garamond" w:cs="Arial"/>
          <w:b/>
          <w:sz w:val="20"/>
          <w:szCs w:val="20"/>
        </w:rPr>
        <w:t>2</w:t>
      </w:r>
    </w:p>
    <w:p w14:paraId="5AFD5C8C" w14:textId="77777777" w:rsid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9BC21B2" w14:textId="04CD81E8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PREBERACÍ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PROTOKOL</w:t>
      </w:r>
    </w:p>
    <w:p w14:paraId="37D774E1" w14:textId="77777777" w:rsidR="00414AFF" w:rsidRPr="00D25BF9" w:rsidRDefault="00414AFF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06355E" w14:textId="63EA8AB0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Objednávateľ:</w:t>
      </w:r>
    </w:p>
    <w:p w14:paraId="574B187E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694472" w14:textId="5FABA7A4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podnik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akciová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spoločnosť</w:t>
      </w:r>
    </w:p>
    <w:p w14:paraId="2873BDB4" w14:textId="39D1365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Olejkárska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814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</w:p>
    <w:p w14:paraId="7B4178A1" w14:textId="0B9282C0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00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492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736</w:t>
      </w:r>
    </w:p>
    <w:p w14:paraId="19BDBB51" w14:textId="7C69FF34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607/B</w:t>
      </w:r>
    </w:p>
    <w:p w14:paraId="1EC7CB9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A76C2" w14:textId="2562679B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650AE9EF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BD6098" w14:textId="7753915E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Objednávateľ</w:t>
      </w:r>
      <w:r w:rsidRPr="00D25BF9">
        <w:rPr>
          <w:rFonts w:ascii="Garamond" w:hAnsi="Garamond"/>
          <w:sz w:val="20"/>
          <w:szCs w:val="20"/>
        </w:rPr>
        <w:t>“)</w:t>
      </w:r>
    </w:p>
    <w:p w14:paraId="722FA133" w14:textId="77777777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84816A4" w14:textId="084FC2EF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Dodávateľ: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</w:p>
    <w:p w14:paraId="0DED21C8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09967D1" w14:textId="76F77269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4830BFC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1139084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53FFA2B3" w14:textId="02555612" w:rsidR="00282C25" w:rsidRPr="00D25BF9" w:rsidRDefault="00282C25" w:rsidP="00FC2E7B">
      <w:pPr>
        <w:spacing w:after="0" w:line="240" w:lineRule="auto"/>
        <w:ind w:left="2124" w:hanging="2124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</w:p>
    <w:p w14:paraId="1111802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6D0FF5" w14:textId="280E33C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5E0A1D04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081BB0" w14:textId="0BD01C89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i/>
          <w:sz w:val="20"/>
          <w:szCs w:val="20"/>
        </w:rPr>
        <w:t>(</w:t>
      </w:r>
      <w:r w:rsidRPr="00D25BF9">
        <w:rPr>
          <w:rFonts w:ascii="Garamond" w:hAnsi="Garamond"/>
          <w:sz w:val="20"/>
          <w:szCs w:val="20"/>
        </w:rPr>
        <w:t>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Dodávateľ</w:t>
      </w:r>
      <w:r w:rsidRPr="00D25BF9">
        <w:rPr>
          <w:rFonts w:ascii="Garamond" w:hAnsi="Garamond"/>
          <w:sz w:val="20"/>
          <w:szCs w:val="20"/>
        </w:rPr>
        <w:t>“)</w:t>
      </w:r>
    </w:p>
    <w:p w14:paraId="631B04BB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9152F3" w14:textId="1FF7C141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uzatvorili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Rámcovú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14AFF" w:rsidRPr="00D25BF9">
        <w:rPr>
          <w:rFonts w:ascii="Garamond" w:hAnsi="Garamond"/>
          <w:sz w:val="20"/>
          <w:szCs w:val="20"/>
        </w:rPr>
        <w:t xml:space="preserve">dohodu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Zmluva</w:t>
      </w:r>
      <w:r w:rsidRPr="00D25BF9">
        <w:rPr>
          <w:rFonts w:ascii="Garamond" w:hAnsi="Garamond"/>
          <w:sz w:val="20"/>
          <w:szCs w:val="20"/>
        </w:rPr>
        <w:t>“).</w:t>
      </w:r>
    </w:p>
    <w:p w14:paraId="4828060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7BF48A" w14:textId="21A857D3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Pojmy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veľkým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začiatočným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písmenom,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výslovne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istý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význam.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8611C3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851C4A" w14:textId="4823A186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Tovar:</w:t>
      </w:r>
    </w:p>
    <w:p w14:paraId="7D9B0B5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1640"/>
        <w:gridCol w:w="3392"/>
      </w:tblGrid>
      <w:tr w:rsidR="00282C25" w:rsidRPr="00D25BF9" w14:paraId="3AEED6E8" w14:textId="77777777" w:rsidTr="001806CC">
        <w:trPr>
          <w:trHeight w:val="166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00ED4E2" w14:textId="6A8F3B7F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Názov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409B8A6" w14:textId="537C399B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Množstvo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ks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D63E9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Poznámky</w:t>
            </w:r>
          </w:p>
        </w:tc>
      </w:tr>
      <w:tr w:rsidR="00282C25" w:rsidRPr="00D25BF9" w14:paraId="4C6AE3CD" w14:textId="77777777" w:rsidTr="001806CC">
        <w:trPr>
          <w:trHeight w:val="972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B76662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DFB13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D9E6F5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2210BD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8D0A874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DB201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B21A52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A89661" w14:textId="7317F99B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protiplnenie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záväzku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Odplatu.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09DD1D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890830" w14:textId="40F3D8E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/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(označiť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tabuľke!)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Objednávateľovi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doklady:</w:t>
      </w:r>
    </w:p>
    <w:p w14:paraId="310C11D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397"/>
      </w:tblGrid>
      <w:tr w:rsidR="00282C25" w:rsidRPr="00D25BF9" w14:paraId="41FB0B6A" w14:textId="77777777" w:rsidTr="00414AFF">
        <w:trPr>
          <w:jc w:val="center"/>
        </w:trPr>
        <w:tc>
          <w:tcPr>
            <w:tcW w:w="3964" w:type="dxa"/>
            <w:vAlign w:val="center"/>
            <w:hideMark/>
          </w:tcPr>
          <w:p w14:paraId="371587C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Doklad</w:t>
            </w:r>
          </w:p>
        </w:tc>
        <w:tc>
          <w:tcPr>
            <w:tcW w:w="2552" w:type="dxa"/>
            <w:vAlign w:val="center"/>
            <w:hideMark/>
          </w:tcPr>
          <w:p w14:paraId="50069DE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Odovzdal</w:t>
            </w:r>
          </w:p>
        </w:tc>
        <w:tc>
          <w:tcPr>
            <w:tcW w:w="2397" w:type="dxa"/>
            <w:vAlign w:val="center"/>
            <w:hideMark/>
          </w:tcPr>
          <w:p w14:paraId="28E3B09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Neodovzdal</w:t>
            </w:r>
          </w:p>
        </w:tc>
      </w:tr>
      <w:tr w:rsidR="00282C25" w:rsidRPr="00D25BF9" w14:paraId="279F9684" w14:textId="77777777" w:rsidTr="00414AFF">
        <w:trPr>
          <w:jc w:val="center"/>
        </w:trPr>
        <w:tc>
          <w:tcPr>
            <w:tcW w:w="3964" w:type="dxa"/>
            <w:vAlign w:val="center"/>
          </w:tcPr>
          <w:p w14:paraId="56F1CAEE" w14:textId="6FD36508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dodací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jednotkovými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cenami</w:t>
            </w:r>
          </w:p>
        </w:tc>
        <w:tc>
          <w:tcPr>
            <w:tcW w:w="2552" w:type="dxa"/>
            <w:vAlign w:val="center"/>
          </w:tcPr>
          <w:p w14:paraId="1502FC1B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8E6403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ED182B5" w14:textId="77777777" w:rsidTr="00414AFF">
        <w:trPr>
          <w:jc w:val="center"/>
        </w:trPr>
        <w:tc>
          <w:tcPr>
            <w:tcW w:w="3964" w:type="dxa"/>
            <w:vAlign w:val="center"/>
          </w:tcPr>
          <w:p w14:paraId="305E0E1C" w14:textId="602CF45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osvedčenie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akosti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kompletnosti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Tovaru;</w:t>
            </w:r>
          </w:p>
        </w:tc>
        <w:tc>
          <w:tcPr>
            <w:tcW w:w="2552" w:type="dxa"/>
            <w:vAlign w:val="center"/>
          </w:tcPr>
          <w:p w14:paraId="23501EF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53BFC41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01CB6E1A" w14:textId="77777777" w:rsidTr="00414AFF">
        <w:trPr>
          <w:jc w:val="center"/>
        </w:trPr>
        <w:tc>
          <w:tcPr>
            <w:tcW w:w="3964" w:type="dxa"/>
            <w:vAlign w:val="center"/>
          </w:tcPr>
          <w:p w14:paraId="46906558" w14:textId="0DEB6C7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kópia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objednávky</w:t>
            </w:r>
          </w:p>
        </w:tc>
        <w:tc>
          <w:tcPr>
            <w:tcW w:w="2552" w:type="dxa"/>
            <w:vAlign w:val="center"/>
          </w:tcPr>
          <w:p w14:paraId="2C8CCA18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031CE7D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6E00E43" w14:textId="77777777" w:rsidTr="00414AFF">
        <w:trPr>
          <w:jc w:val="center"/>
        </w:trPr>
        <w:tc>
          <w:tcPr>
            <w:tcW w:w="3964" w:type="dxa"/>
            <w:vAlign w:val="center"/>
          </w:tcPr>
          <w:p w14:paraId="744B8301" w14:textId="40F41BD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záručný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</w:p>
        </w:tc>
        <w:tc>
          <w:tcPr>
            <w:tcW w:w="2552" w:type="dxa"/>
            <w:vAlign w:val="center"/>
          </w:tcPr>
          <w:p w14:paraId="0FEDB9FA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04528F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902A23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D35B1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F18AE3" w14:textId="19E843CD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__________</w:t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Pr="00D25BF9">
        <w:rPr>
          <w:rFonts w:ascii="Garamond" w:hAnsi="Garamond"/>
          <w:sz w:val="20"/>
          <w:szCs w:val="20"/>
        </w:rPr>
        <w:t>__________</w:t>
      </w:r>
    </w:p>
    <w:p w14:paraId="1969FA2A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ECC9E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EC7514" w14:textId="413E9BB5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Objednávateľa: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Dodávateľa:</w:t>
      </w:r>
    </w:p>
    <w:p w14:paraId="4FEE6DF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7B9E5488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0885D44A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25AB8D1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415BD9AF" w14:textId="20F9A812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</w:rPr>
        <w:t>_________________________________________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  <w:t>_________________________________________</w:t>
      </w:r>
    </w:p>
    <w:p w14:paraId="7F547C7E" w14:textId="3C9A03D5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spoločnosť</w:t>
      </w:r>
      <w:r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  <w:highlight w:val="yellow"/>
        </w:rPr>
        <w:t>[doplniť]</w:t>
      </w:r>
    </w:p>
    <w:p w14:paraId="6816E436" w14:textId="77777777" w:rsidR="00EF5901" w:rsidRPr="00D25BF9" w:rsidRDefault="00EF5901" w:rsidP="00EF5901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0A1E38BF" w14:textId="77777777" w:rsidR="00EF5901" w:rsidRPr="00D25BF9" w:rsidRDefault="00EF5901" w:rsidP="00EF5901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513DD3B1" w14:textId="4473B8E0" w:rsidR="00EF5901" w:rsidRPr="00D25BF9" w:rsidRDefault="00EF5901">
      <w:pPr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br w:type="page"/>
      </w:r>
    </w:p>
    <w:p w14:paraId="2FE24538" w14:textId="2F7CD530" w:rsidR="00564FF8" w:rsidRPr="00D25BF9" w:rsidRDefault="00564FF8" w:rsidP="00FC2E7B">
      <w:pPr>
        <w:pStyle w:val="AOSignatory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lastRenderedPageBreak/>
        <w:t>PODPISY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ZMLUVNÝCH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STRÁN</w:t>
      </w:r>
    </w:p>
    <w:p w14:paraId="16863CE7" w14:textId="77777777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6DB2F4D" w14:textId="0E037206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22D1CFD6" w14:textId="77777777" w:rsidR="00EF5901" w:rsidRPr="00D25BF9" w:rsidRDefault="00EF5901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1B27E75" w14:textId="531D36F2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07AA0E0C" w14:textId="591A4EDF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509F58" w14:textId="661F0A20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FD44F1B" w14:textId="1EEBA4B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11AB528" w14:textId="08A48D9C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BD9577D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1E99709" w14:textId="2B3C5C44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Ing.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Michal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Dekánek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19540259" w14:textId="5A288097" w:rsidR="00564FF8" w:rsidRPr="00D25BF9" w:rsidRDefault="00564FF8" w:rsidP="00FC2E7B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t>Funkcia:</w:t>
      </w:r>
      <w:r w:rsidRPr="00D25BF9">
        <w:rPr>
          <w:rFonts w:ascii="Garamond" w:hAnsi="Garamond"/>
          <w:color w:val="000000" w:themeColor="text1"/>
          <w:sz w:val="20"/>
        </w:rPr>
        <w:tab/>
        <w:t>predseda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predstavenstva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</w:p>
    <w:p w14:paraId="46EACE26" w14:textId="6CFDE7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397E57A" w14:textId="4BFE2AA1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0B6429E" w14:textId="1B26A95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53AADCB" w14:textId="272A1A0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534DA0E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8F35C06" w14:textId="551C7BA3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eastAsia="Times New Roman" w:hAnsi="Garamond"/>
          <w:sz w:val="20"/>
          <w:szCs w:val="20"/>
        </w:rPr>
        <w:t>Ing.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Rastislav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Fleško</w:t>
      </w:r>
    </w:p>
    <w:p w14:paraId="6B1E324F" w14:textId="222639E5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915B28" w:rsidRPr="00D25BF9">
        <w:rPr>
          <w:rFonts w:ascii="Garamond" w:hAnsi="Garamond"/>
          <w:color w:val="000000" w:themeColor="text1"/>
          <w:sz w:val="20"/>
          <w:szCs w:val="20"/>
        </w:rPr>
        <w:t>člen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15B28" w:rsidRPr="00D25BF9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915B2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F276C" w:rsidRPr="00D25BF9">
        <w:rPr>
          <w:rFonts w:ascii="Garamond" w:eastAsia="Times New Roman" w:hAnsi="Garamond"/>
          <w:sz w:val="20"/>
          <w:szCs w:val="20"/>
        </w:rPr>
        <w:t>riaditeľ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infraštruktúrneho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282C25" w:rsidRPr="00D25BF9">
        <w:rPr>
          <w:rFonts w:ascii="Garamond" w:eastAsia="Times New Roman" w:hAnsi="Garamond"/>
          <w:sz w:val="20"/>
          <w:szCs w:val="20"/>
        </w:rPr>
        <w:t>úseku</w:t>
      </w:r>
    </w:p>
    <w:p w14:paraId="007D02A1" w14:textId="77777777" w:rsidR="00564FF8" w:rsidRPr="00D25BF9" w:rsidRDefault="00564FF8" w:rsidP="00FC2E7B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6DA8CC4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957107A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C1FCC05" w14:textId="0288BC88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657E828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sz w:val="20"/>
          <w:szCs w:val="20"/>
          <w:lang w:eastAsia="cs-CZ"/>
        </w:rPr>
      </w:pPr>
    </w:p>
    <w:p w14:paraId="5CC24290" w14:textId="279E1352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23807A10" w14:textId="271D81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1EEA102" w14:textId="25724FA7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D667CBB" w14:textId="4FCBDB36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AA5992E" w14:textId="1DF26F80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8AC49A7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D0C8731" w14:textId="2EBAAC5A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4AB4A5B" w14:textId="4A72B743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A5039BD" w14:textId="2AA3860C" w:rsidR="00564FF8" w:rsidRPr="00D25BF9" w:rsidRDefault="00564FF8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E5A364D" w14:textId="049288CD" w:rsidR="001A2147" w:rsidRPr="00D25BF9" w:rsidRDefault="001A2147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496E124" w14:textId="2B47CC30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C712A6C" w14:textId="1C755B09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D322E07" w14:textId="77777777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9719CD3" w14:textId="77777777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5A693D45" w14:textId="7D0BF69C" w:rsidR="009D4836" w:rsidRPr="00D25BF9" w:rsidRDefault="00564FF8" w:rsidP="00221DB4">
      <w:pPr>
        <w:pStyle w:val="AODocTxt"/>
        <w:spacing w:before="0" w:line="240" w:lineRule="auto"/>
        <w:ind w:left="1430" w:hanging="1430"/>
        <w:rPr>
          <w:rFonts w:ascii="Garamond" w:eastAsia="Times New Roman" w:hAnsi="Garamond" w:cs="Arial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9D4836" w:rsidRPr="00D25BF9" w:rsidSect="00EF5901">
      <w:footerReference w:type="default" r:id="rId12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B5BC" w14:textId="77777777" w:rsidR="00CB548B" w:rsidRDefault="00CB548B" w:rsidP="006B4B49">
      <w:pPr>
        <w:spacing w:after="0" w:line="240" w:lineRule="auto"/>
      </w:pPr>
      <w:r>
        <w:separator/>
      </w:r>
    </w:p>
  </w:endnote>
  <w:endnote w:type="continuationSeparator" w:id="0">
    <w:p w14:paraId="72F02FD1" w14:textId="77777777" w:rsidR="00CB548B" w:rsidRDefault="00CB548B" w:rsidP="006B4B49">
      <w:pPr>
        <w:spacing w:after="0" w:line="240" w:lineRule="auto"/>
      </w:pPr>
      <w:r>
        <w:continuationSeparator/>
      </w:r>
    </w:p>
  </w:endnote>
  <w:endnote w:type="continuationNotice" w:id="1">
    <w:p w14:paraId="3065F753" w14:textId="77777777" w:rsidR="00CB548B" w:rsidRDefault="00CB54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74C9" w14:textId="76B7B514" w:rsidR="00C636B5" w:rsidRDefault="00EF5901" w:rsidP="00EF5901">
    <w:pPr>
      <w:pBdr>
        <w:top w:val="single" w:sz="4" w:space="1" w:color="auto"/>
      </w:pBdr>
      <w:tabs>
        <w:tab w:val="center" w:pos="4703"/>
        <w:tab w:val="right" w:pos="9639"/>
      </w:tabs>
      <w:spacing w:after="0" w:line="240" w:lineRule="auto"/>
      <w:rPr>
        <w:rFonts w:ascii="Garamond" w:eastAsia="Times New Roman" w:hAnsi="Garamond" w:cs="Times New Roman"/>
        <w:b/>
        <w:iCs/>
        <w:sz w:val="20"/>
        <w:szCs w:val="20"/>
      </w:rPr>
    </w:pPr>
    <w:r>
      <w:rPr>
        <w:rFonts w:ascii="Garamond" w:hAnsi="Garamond"/>
        <w:b/>
        <w:sz w:val="20"/>
        <w:szCs w:val="20"/>
      </w:rPr>
      <w:t>RÁMCOVÁ DOHODA NA DODANIE TOVARU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  <w:t xml:space="preserve">Strana 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PAGE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2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/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NUMPAGES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11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</w:p>
  <w:p w14:paraId="3B1BE38B" w14:textId="77777777" w:rsidR="00EF5901" w:rsidRPr="00414AFF" w:rsidRDefault="00EF5901" w:rsidP="00EF5901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88BE3" w14:textId="77777777" w:rsidR="00CB548B" w:rsidRDefault="00CB548B" w:rsidP="006B4B49">
      <w:pPr>
        <w:spacing w:after="0" w:line="240" w:lineRule="auto"/>
      </w:pPr>
      <w:r>
        <w:separator/>
      </w:r>
    </w:p>
  </w:footnote>
  <w:footnote w:type="continuationSeparator" w:id="0">
    <w:p w14:paraId="39B52395" w14:textId="77777777" w:rsidR="00CB548B" w:rsidRDefault="00CB548B" w:rsidP="006B4B49">
      <w:pPr>
        <w:spacing w:after="0" w:line="240" w:lineRule="auto"/>
      </w:pPr>
      <w:r>
        <w:continuationSeparator/>
      </w:r>
    </w:p>
  </w:footnote>
  <w:footnote w:type="continuationNotice" w:id="1">
    <w:p w14:paraId="53417799" w14:textId="77777777" w:rsidR="00CB548B" w:rsidRDefault="00CB54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94"/>
    <w:multiLevelType w:val="multilevel"/>
    <w:tmpl w:val="AEF8E9F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65B77"/>
    <w:multiLevelType w:val="hybridMultilevel"/>
    <w:tmpl w:val="685E597E"/>
    <w:lvl w:ilvl="0" w:tplc="32266054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F1B"/>
    <w:multiLevelType w:val="multilevel"/>
    <w:tmpl w:val="49AE05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069E7"/>
    <w:multiLevelType w:val="hybridMultilevel"/>
    <w:tmpl w:val="BF8C0714"/>
    <w:lvl w:ilvl="0" w:tplc="0352A7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B273C"/>
    <w:multiLevelType w:val="multilevel"/>
    <w:tmpl w:val="A97C6B8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6" w15:restartNumberingAfterBreak="0">
    <w:nsid w:val="11726908"/>
    <w:multiLevelType w:val="multilevel"/>
    <w:tmpl w:val="B88C407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95D"/>
    <w:multiLevelType w:val="multilevel"/>
    <w:tmpl w:val="5302D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103C88"/>
    <w:multiLevelType w:val="multilevel"/>
    <w:tmpl w:val="CFC6904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0" w15:restartNumberingAfterBreak="0">
    <w:nsid w:val="1C535624"/>
    <w:multiLevelType w:val="multilevel"/>
    <w:tmpl w:val="C40467F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421C"/>
    <w:multiLevelType w:val="hybridMultilevel"/>
    <w:tmpl w:val="2DC2DC40"/>
    <w:lvl w:ilvl="0" w:tplc="F000A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947"/>
    <w:multiLevelType w:val="multilevel"/>
    <w:tmpl w:val="C7802E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B41A50"/>
    <w:multiLevelType w:val="hybridMultilevel"/>
    <w:tmpl w:val="90A6AE6E"/>
    <w:lvl w:ilvl="0" w:tplc="0910EDF4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5645ED"/>
    <w:multiLevelType w:val="multilevel"/>
    <w:tmpl w:val="9C3E8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541ED1"/>
    <w:multiLevelType w:val="multilevel"/>
    <w:tmpl w:val="E2A44F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3" w15:restartNumberingAfterBreak="0">
    <w:nsid w:val="484B1EEC"/>
    <w:multiLevelType w:val="hybridMultilevel"/>
    <w:tmpl w:val="089EE7FC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067C"/>
    <w:multiLevelType w:val="hybridMultilevel"/>
    <w:tmpl w:val="D278FDCE"/>
    <w:lvl w:ilvl="0" w:tplc="A1D6338A">
      <w:start w:val="5"/>
      <w:numFmt w:val="lowerLetter"/>
      <w:lvlText w:val="(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C81877"/>
    <w:multiLevelType w:val="hybridMultilevel"/>
    <w:tmpl w:val="78D60650"/>
    <w:lvl w:ilvl="0" w:tplc="72E8B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27463"/>
    <w:multiLevelType w:val="singleLevel"/>
    <w:tmpl w:val="A078984A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554C0E"/>
    <w:multiLevelType w:val="multilevel"/>
    <w:tmpl w:val="12525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E60BFF"/>
    <w:multiLevelType w:val="multilevel"/>
    <w:tmpl w:val="75943C52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3E46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7874F23"/>
    <w:multiLevelType w:val="hybridMultilevel"/>
    <w:tmpl w:val="8B2CA80C"/>
    <w:lvl w:ilvl="0" w:tplc="F27E6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43614"/>
    <w:multiLevelType w:val="hybridMultilevel"/>
    <w:tmpl w:val="3AC2A394"/>
    <w:lvl w:ilvl="0" w:tplc="C5527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A6CD8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26"/>
  </w:num>
  <w:num w:numId="5">
    <w:abstractNumId w:val="37"/>
  </w:num>
  <w:num w:numId="6">
    <w:abstractNumId w:val="38"/>
  </w:num>
  <w:num w:numId="7">
    <w:abstractNumId w:val="15"/>
  </w:num>
  <w:num w:numId="8">
    <w:abstractNumId w:val="39"/>
  </w:num>
  <w:num w:numId="9">
    <w:abstractNumId w:val="22"/>
  </w:num>
  <w:num w:numId="10">
    <w:abstractNumId w:val="12"/>
  </w:num>
  <w:num w:numId="11">
    <w:abstractNumId w:val="34"/>
  </w:num>
  <w:num w:numId="12">
    <w:abstractNumId w:val="28"/>
  </w:num>
  <w:num w:numId="13">
    <w:abstractNumId w:val="29"/>
  </w:num>
  <w:num w:numId="14">
    <w:abstractNumId w:val="0"/>
  </w:num>
  <w:num w:numId="15">
    <w:abstractNumId w:val="21"/>
  </w:num>
  <w:num w:numId="16">
    <w:abstractNumId w:val="18"/>
  </w:num>
  <w:num w:numId="17">
    <w:abstractNumId w:val="13"/>
  </w:num>
  <w:num w:numId="18">
    <w:abstractNumId w:val="33"/>
  </w:num>
  <w:num w:numId="19">
    <w:abstractNumId w:val="1"/>
  </w:num>
  <w:num w:numId="20">
    <w:abstractNumId w:val="6"/>
  </w:num>
  <w:num w:numId="21">
    <w:abstractNumId w:val="35"/>
  </w:num>
  <w:num w:numId="22">
    <w:abstractNumId w:val="30"/>
  </w:num>
  <w:num w:numId="23">
    <w:abstractNumId w:val="14"/>
  </w:num>
  <w:num w:numId="24">
    <w:abstractNumId w:val="17"/>
  </w:num>
  <w:num w:numId="25">
    <w:abstractNumId w:val="25"/>
  </w:num>
  <w:num w:numId="26">
    <w:abstractNumId w:val="36"/>
  </w:num>
  <w:num w:numId="27">
    <w:abstractNumId w:val="10"/>
  </w:num>
  <w:num w:numId="28">
    <w:abstractNumId w:val="19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 w:numId="36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</w:num>
  <w:num w:numId="39">
    <w:abstractNumId w:val="4"/>
  </w:num>
  <w:num w:numId="40">
    <w:abstractNumId w:val="8"/>
  </w:num>
  <w:num w:numId="41">
    <w:abstractNumId w:val="20"/>
  </w:num>
  <w:num w:numId="42">
    <w:abstractNumId w:val="5"/>
  </w:num>
  <w:num w:numId="43">
    <w:abstractNumId w:val="31"/>
  </w:num>
  <w:num w:numId="44">
    <w:abstractNumId w:val="40"/>
  </w:num>
  <w:num w:numId="45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7DD2"/>
    <w:rsid w:val="00012B9F"/>
    <w:rsid w:val="00012E49"/>
    <w:rsid w:val="00013130"/>
    <w:rsid w:val="000134DD"/>
    <w:rsid w:val="00014FF9"/>
    <w:rsid w:val="00016494"/>
    <w:rsid w:val="000318E8"/>
    <w:rsid w:val="00032F51"/>
    <w:rsid w:val="00041DC9"/>
    <w:rsid w:val="00045D1E"/>
    <w:rsid w:val="000479EE"/>
    <w:rsid w:val="00050DD4"/>
    <w:rsid w:val="00051DAE"/>
    <w:rsid w:val="000537B2"/>
    <w:rsid w:val="000563C8"/>
    <w:rsid w:val="000678A1"/>
    <w:rsid w:val="00081B5A"/>
    <w:rsid w:val="00081C4C"/>
    <w:rsid w:val="0008263C"/>
    <w:rsid w:val="00095651"/>
    <w:rsid w:val="000964E3"/>
    <w:rsid w:val="00096C88"/>
    <w:rsid w:val="000A04FA"/>
    <w:rsid w:val="000A236E"/>
    <w:rsid w:val="000A2DD1"/>
    <w:rsid w:val="000A74DD"/>
    <w:rsid w:val="000B3039"/>
    <w:rsid w:val="000B35BA"/>
    <w:rsid w:val="000B5345"/>
    <w:rsid w:val="000B626D"/>
    <w:rsid w:val="000C185E"/>
    <w:rsid w:val="000C2507"/>
    <w:rsid w:val="000C3A8C"/>
    <w:rsid w:val="000C5C44"/>
    <w:rsid w:val="000D4FFA"/>
    <w:rsid w:val="000D59AD"/>
    <w:rsid w:val="000E24BD"/>
    <w:rsid w:val="000E6972"/>
    <w:rsid w:val="0010429F"/>
    <w:rsid w:val="00106E51"/>
    <w:rsid w:val="001077C1"/>
    <w:rsid w:val="00110647"/>
    <w:rsid w:val="0011064F"/>
    <w:rsid w:val="00120500"/>
    <w:rsid w:val="001231A5"/>
    <w:rsid w:val="00123575"/>
    <w:rsid w:val="0012704B"/>
    <w:rsid w:val="0013662B"/>
    <w:rsid w:val="00140BB9"/>
    <w:rsid w:val="001426D4"/>
    <w:rsid w:val="001429EC"/>
    <w:rsid w:val="00145477"/>
    <w:rsid w:val="0014649D"/>
    <w:rsid w:val="00157C11"/>
    <w:rsid w:val="00163AAB"/>
    <w:rsid w:val="001737A3"/>
    <w:rsid w:val="00175DC7"/>
    <w:rsid w:val="001806CC"/>
    <w:rsid w:val="00181A43"/>
    <w:rsid w:val="001876B6"/>
    <w:rsid w:val="001A2147"/>
    <w:rsid w:val="001A2D48"/>
    <w:rsid w:val="001A7019"/>
    <w:rsid w:val="001B3041"/>
    <w:rsid w:val="001C05A2"/>
    <w:rsid w:val="001C38A1"/>
    <w:rsid w:val="001C59C3"/>
    <w:rsid w:val="001C6DF7"/>
    <w:rsid w:val="001D477B"/>
    <w:rsid w:val="001E0170"/>
    <w:rsid w:val="001E36CA"/>
    <w:rsid w:val="001E7C3E"/>
    <w:rsid w:val="00202F4E"/>
    <w:rsid w:val="00212A22"/>
    <w:rsid w:val="00226248"/>
    <w:rsid w:val="002262AA"/>
    <w:rsid w:val="00227A41"/>
    <w:rsid w:val="002449A1"/>
    <w:rsid w:val="00246219"/>
    <w:rsid w:val="00254CCD"/>
    <w:rsid w:val="00257A54"/>
    <w:rsid w:val="00261DE3"/>
    <w:rsid w:val="002652FC"/>
    <w:rsid w:val="00273047"/>
    <w:rsid w:val="00275F8A"/>
    <w:rsid w:val="00282C25"/>
    <w:rsid w:val="002852F2"/>
    <w:rsid w:val="00291828"/>
    <w:rsid w:val="0029651B"/>
    <w:rsid w:val="00297D0B"/>
    <w:rsid w:val="002A074B"/>
    <w:rsid w:val="002A3841"/>
    <w:rsid w:val="002A4E07"/>
    <w:rsid w:val="002A7E2F"/>
    <w:rsid w:val="002B0CB5"/>
    <w:rsid w:val="002B1738"/>
    <w:rsid w:val="002B3377"/>
    <w:rsid w:val="002B7673"/>
    <w:rsid w:val="002C48DB"/>
    <w:rsid w:val="002D3D8C"/>
    <w:rsid w:val="002E41AA"/>
    <w:rsid w:val="0030223D"/>
    <w:rsid w:val="00305538"/>
    <w:rsid w:val="0030759B"/>
    <w:rsid w:val="003140A0"/>
    <w:rsid w:val="00323923"/>
    <w:rsid w:val="00324B61"/>
    <w:rsid w:val="0033357D"/>
    <w:rsid w:val="00334901"/>
    <w:rsid w:val="00335FC7"/>
    <w:rsid w:val="003469DE"/>
    <w:rsid w:val="003556A5"/>
    <w:rsid w:val="003642AD"/>
    <w:rsid w:val="003645F7"/>
    <w:rsid w:val="00372458"/>
    <w:rsid w:val="00391E36"/>
    <w:rsid w:val="003948DE"/>
    <w:rsid w:val="003A37C7"/>
    <w:rsid w:val="003A44BA"/>
    <w:rsid w:val="003A684C"/>
    <w:rsid w:val="003A7D51"/>
    <w:rsid w:val="003B03C2"/>
    <w:rsid w:val="003C1431"/>
    <w:rsid w:val="003C34B0"/>
    <w:rsid w:val="003D1F48"/>
    <w:rsid w:val="003D22D5"/>
    <w:rsid w:val="003D4212"/>
    <w:rsid w:val="003D6A9E"/>
    <w:rsid w:val="003E3DC8"/>
    <w:rsid w:val="003E5104"/>
    <w:rsid w:val="003E55BA"/>
    <w:rsid w:val="003F276C"/>
    <w:rsid w:val="003F2953"/>
    <w:rsid w:val="003F6C26"/>
    <w:rsid w:val="003F7A7C"/>
    <w:rsid w:val="0040548E"/>
    <w:rsid w:val="004063F3"/>
    <w:rsid w:val="00406432"/>
    <w:rsid w:val="00406D8D"/>
    <w:rsid w:val="00406E5B"/>
    <w:rsid w:val="0040793D"/>
    <w:rsid w:val="00414AFF"/>
    <w:rsid w:val="00420415"/>
    <w:rsid w:val="004221E6"/>
    <w:rsid w:val="00425A8F"/>
    <w:rsid w:val="004313CA"/>
    <w:rsid w:val="004365A9"/>
    <w:rsid w:val="00446562"/>
    <w:rsid w:val="0044692B"/>
    <w:rsid w:val="00447352"/>
    <w:rsid w:val="00455D1E"/>
    <w:rsid w:val="004606E3"/>
    <w:rsid w:val="00460BDA"/>
    <w:rsid w:val="004679C4"/>
    <w:rsid w:val="00467E7E"/>
    <w:rsid w:val="00475EFE"/>
    <w:rsid w:val="00476275"/>
    <w:rsid w:val="00480972"/>
    <w:rsid w:val="0048339E"/>
    <w:rsid w:val="0048400F"/>
    <w:rsid w:val="00490FCF"/>
    <w:rsid w:val="00495717"/>
    <w:rsid w:val="00497C4E"/>
    <w:rsid w:val="004A0215"/>
    <w:rsid w:val="004A5009"/>
    <w:rsid w:val="004B3DF7"/>
    <w:rsid w:val="004C7A68"/>
    <w:rsid w:val="004D2F67"/>
    <w:rsid w:val="004D5EC9"/>
    <w:rsid w:val="004E1549"/>
    <w:rsid w:val="004E43DD"/>
    <w:rsid w:val="004E6B49"/>
    <w:rsid w:val="004E752D"/>
    <w:rsid w:val="004F0E4B"/>
    <w:rsid w:val="004F2192"/>
    <w:rsid w:val="00503AB2"/>
    <w:rsid w:val="00506E86"/>
    <w:rsid w:val="005147CB"/>
    <w:rsid w:val="00514FCE"/>
    <w:rsid w:val="0051539D"/>
    <w:rsid w:val="005165FF"/>
    <w:rsid w:val="0052039A"/>
    <w:rsid w:val="00521DA5"/>
    <w:rsid w:val="00531A05"/>
    <w:rsid w:val="00531A74"/>
    <w:rsid w:val="00531DD2"/>
    <w:rsid w:val="00533904"/>
    <w:rsid w:val="00537BDD"/>
    <w:rsid w:val="00537D1D"/>
    <w:rsid w:val="00540954"/>
    <w:rsid w:val="00543994"/>
    <w:rsid w:val="00543BD1"/>
    <w:rsid w:val="00551A91"/>
    <w:rsid w:val="00554B32"/>
    <w:rsid w:val="00556483"/>
    <w:rsid w:val="00556622"/>
    <w:rsid w:val="00560C91"/>
    <w:rsid w:val="00564FF8"/>
    <w:rsid w:val="00567771"/>
    <w:rsid w:val="00575724"/>
    <w:rsid w:val="00576B9B"/>
    <w:rsid w:val="00587796"/>
    <w:rsid w:val="005961BA"/>
    <w:rsid w:val="005A4B4B"/>
    <w:rsid w:val="005C21C7"/>
    <w:rsid w:val="005C6F8D"/>
    <w:rsid w:val="005C72B8"/>
    <w:rsid w:val="005C7462"/>
    <w:rsid w:val="005D1E0D"/>
    <w:rsid w:val="005D6405"/>
    <w:rsid w:val="005D75FC"/>
    <w:rsid w:val="005E0958"/>
    <w:rsid w:val="005E2F79"/>
    <w:rsid w:val="005E5B3E"/>
    <w:rsid w:val="005F2C28"/>
    <w:rsid w:val="005F6995"/>
    <w:rsid w:val="00604498"/>
    <w:rsid w:val="00605728"/>
    <w:rsid w:val="00613697"/>
    <w:rsid w:val="00613D97"/>
    <w:rsid w:val="00630131"/>
    <w:rsid w:val="0063133B"/>
    <w:rsid w:val="00640A9E"/>
    <w:rsid w:val="00641768"/>
    <w:rsid w:val="00642B83"/>
    <w:rsid w:val="006448A2"/>
    <w:rsid w:val="00644B1E"/>
    <w:rsid w:val="006451E5"/>
    <w:rsid w:val="00647BF8"/>
    <w:rsid w:val="00650732"/>
    <w:rsid w:val="00650DD6"/>
    <w:rsid w:val="006543C5"/>
    <w:rsid w:val="00660B0A"/>
    <w:rsid w:val="00672CC2"/>
    <w:rsid w:val="00672EE6"/>
    <w:rsid w:val="006751F7"/>
    <w:rsid w:val="006767DA"/>
    <w:rsid w:val="00681E25"/>
    <w:rsid w:val="00682D29"/>
    <w:rsid w:val="00685932"/>
    <w:rsid w:val="006937B4"/>
    <w:rsid w:val="00696166"/>
    <w:rsid w:val="006A2620"/>
    <w:rsid w:val="006A2CAD"/>
    <w:rsid w:val="006A3FDE"/>
    <w:rsid w:val="006B2CB4"/>
    <w:rsid w:val="006B4B49"/>
    <w:rsid w:val="006B4D3D"/>
    <w:rsid w:val="006C20D1"/>
    <w:rsid w:val="006C6FAF"/>
    <w:rsid w:val="006D1681"/>
    <w:rsid w:val="006D5E1A"/>
    <w:rsid w:val="006D6246"/>
    <w:rsid w:val="006E23A6"/>
    <w:rsid w:val="006F179F"/>
    <w:rsid w:val="00714547"/>
    <w:rsid w:val="00717D6C"/>
    <w:rsid w:val="0072179F"/>
    <w:rsid w:val="00721D84"/>
    <w:rsid w:val="007243BB"/>
    <w:rsid w:val="0073458B"/>
    <w:rsid w:val="00734DCD"/>
    <w:rsid w:val="007370D5"/>
    <w:rsid w:val="00740CE1"/>
    <w:rsid w:val="0074696E"/>
    <w:rsid w:val="00750CB5"/>
    <w:rsid w:val="00754B12"/>
    <w:rsid w:val="00756623"/>
    <w:rsid w:val="0075716D"/>
    <w:rsid w:val="00763597"/>
    <w:rsid w:val="007671FD"/>
    <w:rsid w:val="00772AAD"/>
    <w:rsid w:val="00775612"/>
    <w:rsid w:val="0078035C"/>
    <w:rsid w:val="00786591"/>
    <w:rsid w:val="00787A1A"/>
    <w:rsid w:val="00791E0C"/>
    <w:rsid w:val="007A61F9"/>
    <w:rsid w:val="007B1CC7"/>
    <w:rsid w:val="007C490C"/>
    <w:rsid w:val="007C577A"/>
    <w:rsid w:val="007C5AEA"/>
    <w:rsid w:val="007D5E3D"/>
    <w:rsid w:val="007F2C23"/>
    <w:rsid w:val="007F3AAC"/>
    <w:rsid w:val="00806F24"/>
    <w:rsid w:val="0081331F"/>
    <w:rsid w:val="00820EC9"/>
    <w:rsid w:val="008238DC"/>
    <w:rsid w:val="00827A2C"/>
    <w:rsid w:val="0083059B"/>
    <w:rsid w:val="008332D2"/>
    <w:rsid w:val="00837AD5"/>
    <w:rsid w:val="00841E4D"/>
    <w:rsid w:val="00842C6D"/>
    <w:rsid w:val="008505A2"/>
    <w:rsid w:val="00852D40"/>
    <w:rsid w:val="00852FF1"/>
    <w:rsid w:val="00855C78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913F7"/>
    <w:rsid w:val="00897C52"/>
    <w:rsid w:val="008A6116"/>
    <w:rsid w:val="008B0876"/>
    <w:rsid w:val="008B7970"/>
    <w:rsid w:val="008C3011"/>
    <w:rsid w:val="008C4BBB"/>
    <w:rsid w:val="008C5D4C"/>
    <w:rsid w:val="008F5E69"/>
    <w:rsid w:val="00903B4E"/>
    <w:rsid w:val="00905195"/>
    <w:rsid w:val="009147C8"/>
    <w:rsid w:val="00915B28"/>
    <w:rsid w:val="00916E2F"/>
    <w:rsid w:val="00920ABF"/>
    <w:rsid w:val="00920AF8"/>
    <w:rsid w:val="00924374"/>
    <w:rsid w:val="00924B7A"/>
    <w:rsid w:val="009271C1"/>
    <w:rsid w:val="009327AB"/>
    <w:rsid w:val="00951FBE"/>
    <w:rsid w:val="009536AA"/>
    <w:rsid w:val="009538FD"/>
    <w:rsid w:val="00961ECE"/>
    <w:rsid w:val="00963128"/>
    <w:rsid w:val="009665F2"/>
    <w:rsid w:val="00970127"/>
    <w:rsid w:val="00985A12"/>
    <w:rsid w:val="00991911"/>
    <w:rsid w:val="00991B75"/>
    <w:rsid w:val="00997F8B"/>
    <w:rsid w:val="009A6E08"/>
    <w:rsid w:val="009B13D0"/>
    <w:rsid w:val="009C0ED3"/>
    <w:rsid w:val="009C1FCB"/>
    <w:rsid w:val="009C24F1"/>
    <w:rsid w:val="009C6CA5"/>
    <w:rsid w:val="009D079C"/>
    <w:rsid w:val="009D0B03"/>
    <w:rsid w:val="009D4836"/>
    <w:rsid w:val="009F58CA"/>
    <w:rsid w:val="009F664A"/>
    <w:rsid w:val="00A0110C"/>
    <w:rsid w:val="00A03133"/>
    <w:rsid w:val="00A036FB"/>
    <w:rsid w:val="00A03F4F"/>
    <w:rsid w:val="00A05226"/>
    <w:rsid w:val="00A07E71"/>
    <w:rsid w:val="00A11294"/>
    <w:rsid w:val="00A13C67"/>
    <w:rsid w:val="00A14345"/>
    <w:rsid w:val="00A15092"/>
    <w:rsid w:val="00A15C8B"/>
    <w:rsid w:val="00A17DE4"/>
    <w:rsid w:val="00A20935"/>
    <w:rsid w:val="00A23E67"/>
    <w:rsid w:val="00A2436F"/>
    <w:rsid w:val="00A36365"/>
    <w:rsid w:val="00A37126"/>
    <w:rsid w:val="00A40641"/>
    <w:rsid w:val="00A41014"/>
    <w:rsid w:val="00A41EB0"/>
    <w:rsid w:val="00A44905"/>
    <w:rsid w:val="00A46D10"/>
    <w:rsid w:val="00A5496F"/>
    <w:rsid w:val="00A54F73"/>
    <w:rsid w:val="00A56EDD"/>
    <w:rsid w:val="00A57A39"/>
    <w:rsid w:val="00A57CD5"/>
    <w:rsid w:val="00A639DA"/>
    <w:rsid w:val="00A703BE"/>
    <w:rsid w:val="00A73069"/>
    <w:rsid w:val="00A76B68"/>
    <w:rsid w:val="00A831CB"/>
    <w:rsid w:val="00A92F26"/>
    <w:rsid w:val="00A953D2"/>
    <w:rsid w:val="00A97C7C"/>
    <w:rsid w:val="00AA35E2"/>
    <w:rsid w:val="00AA3928"/>
    <w:rsid w:val="00AA51BD"/>
    <w:rsid w:val="00AB6E62"/>
    <w:rsid w:val="00AC0E9D"/>
    <w:rsid w:val="00AC5397"/>
    <w:rsid w:val="00AE33B8"/>
    <w:rsid w:val="00AF0747"/>
    <w:rsid w:val="00B02769"/>
    <w:rsid w:val="00B03746"/>
    <w:rsid w:val="00B15869"/>
    <w:rsid w:val="00B1681A"/>
    <w:rsid w:val="00B27044"/>
    <w:rsid w:val="00B27709"/>
    <w:rsid w:val="00B30F42"/>
    <w:rsid w:val="00B32169"/>
    <w:rsid w:val="00B33F9F"/>
    <w:rsid w:val="00B36510"/>
    <w:rsid w:val="00B377EB"/>
    <w:rsid w:val="00B47039"/>
    <w:rsid w:val="00B54D9D"/>
    <w:rsid w:val="00B57138"/>
    <w:rsid w:val="00B602A7"/>
    <w:rsid w:val="00B62ED4"/>
    <w:rsid w:val="00B65853"/>
    <w:rsid w:val="00B670D6"/>
    <w:rsid w:val="00B8255E"/>
    <w:rsid w:val="00B836F6"/>
    <w:rsid w:val="00B83E3C"/>
    <w:rsid w:val="00B923AC"/>
    <w:rsid w:val="00B936FB"/>
    <w:rsid w:val="00BA2571"/>
    <w:rsid w:val="00BA4798"/>
    <w:rsid w:val="00BA4ADD"/>
    <w:rsid w:val="00BA4DC7"/>
    <w:rsid w:val="00BB1E06"/>
    <w:rsid w:val="00BB4768"/>
    <w:rsid w:val="00BC279E"/>
    <w:rsid w:val="00BC43B6"/>
    <w:rsid w:val="00BD3D98"/>
    <w:rsid w:val="00BE1BED"/>
    <w:rsid w:val="00BE3D74"/>
    <w:rsid w:val="00BE4BC6"/>
    <w:rsid w:val="00BF261E"/>
    <w:rsid w:val="00BF414C"/>
    <w:rsid w:val="00BF516F"/>
    <w:rsid w:val="00BF5C81"/>
    <w:rsid w:val="00BF67B7"/>
    <w:rsid w:val="00C0016C"/>
    <w:rsid w:val="00C01717"/>
    <w:rsid w:val="00C2040D"/>
    <w:rsid w:val="00C3030A"/>
    <w:rsid w:val="00C363E4"/>
    <w:rsid w:val="00C36B2A"/>
    <w:rsid w:val="00C37819"/>
    <w:rsid w:val="00C41CBE"/>
    <w:rsid w:val="00C47E3E"/>
    <w:rsid w:val="00C52A4F"/>
    <w:rsid w:val="00C54213"/>
    <w:rsid w:val="00C57C45"/>
    <w:rsid w:val="00C62E36"/>
    <w:rsid w:val="00C6349E"/>
    <w:rsid w:val="00C636B5"/>
    <w:rsid w:val="00C7068B"/>
    <w:rsid w:val="00C723FD"/>
    <w:rsid w:val="00C73FB9"/>
    <w:rsid w:val="00C7408B"/>
    <w:rsid w:val="00C756EE"/>
    <w:rsid w:val="00C75A8C"/>
    <w:rsid w:val="00C83576"/>
    <w:rsid w:val="00C83828"/>
    <w:rsid w:val="00C91019"/>
    <w:rsid w:val="00C96D79"/>
    <w:rsid w:val="00CA038B"/>
    <w:rsid w:val="00CA082A"/>
    <w:rsid w:val="00CB548B"/>
    <w:rsid w:val="00CC1606"/>
    <w:rsid w:val="00CC2416"/>
    <w:rsid w:val="00CC70CA"/>
    <w:rsid w:val="00CD562F"/>
    <w:rsid w:val="00CD7C58"/>
    <w:rsid w:val="00CE11EB"/>
    <w:rsid w:val="00CE2177"/>
    <w:rsid w:val="00CE3041"/>
    <w:rsid w:val="00CF0CE3"/>
    <w:rsid w:val="00CF0D04"/>
    <w:rsid w:val="00D00C75"/>
    <w:rsid w:val="00D01FCA"/>
    <w:rsid w:val="00D058CF"/>
    <w:rsid w:val="00D06769"/>
    <w:rsid w:val="00D118F6"/>
    <w:rsid w:val="00D12328"/>
    <w:rsid w:val="00D1457A"/>
    <w:rsid w:val="00D22C81"/>
    <w:rsid w:val="00D248C8"/>
    <w:rsid w:val="00D25BF9"/>
    <w:rsid w:val="00D25CA2"/>
    <w:rsid w:val="00D30ED9"/>
    <w:rsid w:val="00D36824"/>
    <w:rsid w:val="00D436F2"/>
    <w:rsid w:val="00D50193"/>
    <w:rsid w:val="00D566E9"/>
    <w:rsid w:val="00D60995"/>
    <w:rsid w:val="00D60AF9"/>
    <w:rsid w:val="00D63DE5"/>
    <w:rsid w:val="00D65980"/>
    <w:rsid w:val="00D72AFD"/>
    <w:rsid w:val="00D74102"/>
    <w:rsid w:val="00D74E47"/>
    <w:rsid w:val="00D74F57"/>
    <w:rsid w:val="00D81E14"/>
    <w:rsid w:val="00D8500A"/>
    <w:rsid w:val="00D9162C"/>
    <w:rsid w:val="00D91A4B"/>
    <w:rsid w:val="00D921F2"/>
    <w:rsid w:val="00D95143"/>
    <w:rsid w:val="00D95944"/>
    <w:rsid w:val="00DA10B6"/>
    <w:rsid w:val="00DA66B8"/>
    <w:rsid w:val="00DA7437"/>
    <w:rsid w:val="00DA7CE7"/>
    <w:rsid w:val="00DB32D4"/>
    <w:rsid w:val="00DB3E05"/>
    <w:rsid w:val="00DC4695"/>
    <w:rsid w:val="00DD5DCF"/>
    <w:rsid w:val="00DD68ED"/>
    <w:rsid w:val="00DD6967"/>
    <w:rsid w:val="00DE2B2F"/>
    <w:rsid w:val="00E12CBD"/>
    <w:rsid w:val="00E15E21"/>
    <w:rsid w:val="00E22392"/>
    <w:rsid w:val="00E317AD"/>
    <w:rsid w:val="00E36C2C"/>
    <w:rsid w:val="00E425EC"/>
    <w:rsid w:val="00E42893"/>
    <w:rsid w:val="00E42A36"/>
    <w:rsid w:val="00E43E1C"/>
    <w:rsid w:val="00E44949"/>
    <w:rsid w:val="00E509B6"/>
    <w:rsid w:val="00E66519"/>
    <w:rsid w:val="00E66F34"/>
    <w:rsid w:val="00E676BF"/>
    <w:rsid w:val="00E708F2"/>
    <w:rsid w:val="00E73281"/>
    <w:rsid w:val="00E738F0"/>
    <w:rsid w:val="00E84A35"/>
    <w:rsid w:val="00E92422"/>
    <w:rsid w:val="00E96CFF"/>
    <w:rsid w:val="00EA1D96"/>
    <w:rsid w:val="00EA3824"/>
    <w:rsid w:val="00EA7387"/>
    <w:rsid w:val="00EB464A"/>
    <w:rsid w:val="00EB57F2"/>
    <w:rsid w:val="00EC181F"/>
    <w:rsid w:val="00EC4959"/>
    <w:rsid w:val="00EC6EDC"/>
    <w:rsid w:val="00ED09FF"/>
    <w:rsid w:val="00ED2C40"/>
    <w:rsid w:val="00ED6C4F"/>
    <w:rsid w:val="00EE0DE8"/>
    <w:rsid w:val="00EE6FA1"/>
    <w:rsid w:val="00EF0894"/>
    <w:rsid w:val="00EF16E2"/>
    <w:rsid w:val="00EF45EF"/>
    <w:rsid w:val="00EF5901"/>
    <w:rsid w:val="00EF7881"/>
    <w:rsid w:val="00F0588D"/>
    <w:rsid w:val="00F061A0"/>
    <w:rsid w:val="00F106F3"/>
    <w:rsid w:val="00F13ADF"/>
    <w:rsid w:val="00F151EF"/>
    <w:rsid w:val="00F15DC8"/>
    <w:rsid w:val="00F15E0A"/>
    <w:rsid w:val="00F227E6"/>
    <w:rsid w:val="00F23886"/>
    <w:rsid w:val="00F31C3E"/>
    <w:rsid w:val="00F34F0C"/>
    <w:rsid w:val="00F35CC1"/>
    <w:rsid w:val="00F52E8D"/>
    <w:rsid w:val="00F53DD1"/>
    <w:rsid w:val="00F54063"/>
    <w:rsid w:val="00F54205"/>
    <w:rsid w:val="00F669A9"/>
    <w:rsid w:val="00F70128"/>
    <w:rsid w:val="00F73BEE"/>
    <w:rsid w:val="00F74382"/>
    <w:rsid w:val="00F75C60"/>
    <w:rsid w:val="00F76E0A"/>
    <w:rsid w:val="00F86ACA"/>
    <w:rsid w:val="00F94F14"/>
    <w:rsid w:val="00FA3414"/>
    <w:rsid w:val="00FA6DE8"/>
    <w:rsid w:val="00FC00A6"/>
    <w:rsid w:val="00FC0F45"/>
    <w:rsid w:val="00FC2E7B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1BCA"/>
    <w:rsid w:val="00FF3AB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427A"/>
  <w15:docId w15:val="{54872DC8-B73E-40E6-9B62-19535075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semiHidden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C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k.jozef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jcovicova.zuzan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6FF9-E6A4-4118-9A2B-355E5BF6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4739</Words>
  <Characters>27016</Characters>
  <Application>Microsoft Office Word</Application>
  <DocSecurity>0</DocSecurity>
  <Lines>225</Lines>
  <Paragraphs>63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Elanová Tatiana</cp:lastModifiedBy>
  <cp:revision>6</cp:revision>
  <cp:lastPrinted>2019-05-17T09:47:00Z</cp:lastPrinted>
  <dcterms:created xsi:type="dcterms:W3CDTF">2019-05-21T07:20:00Z</dcterms:created>
  <dcterms:modified xsi:type="dcterms:W3CDTF">2019-10-18T07:31:00Z</dcterms:modified>
</cp:coreProperties>
</file>