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697D085D"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966E8A">
        <w:rPr>
          <w:b w:val="0"/>
          <w:color w:val="000000" w:themeColor="text1"/>
          <w:lang w:val="sk-SK"/>
        </w:rPr>
        <w:t>organizačná zložka Šariš</w:t>
      </w:r>
    </w:p>
    <w:p w14:paraId="686BE2D4" w14:textId="50374A61"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966E8A">
        <w:rPr>
          <w:b w:val="0"/>
          <w:color w:val="000000" w:themeColor="text1"/>
          <w:szCs w:val="24"/>
          <w:lang w:val="sk-SK"/>
        </w:rPr>
        <w:t>Obrancov mieru č.6, 080 01 Prešov</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1D1763DE"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966E8A">
        <w:rPr>
          <w:b w:val="0"/>
          <w:color w:val="000000" w:themeColor="text1"/>
          <w:szCs w:val="24"/>
          <w:lang w:val="sk-SK"/>
        </w:rPr>
        <w:t>Ing. Jozef Krochta</w:t>
      </w:r>
      <w:r w:rsidR="001165C9" w:rsidRPr="001165C9">
        <w:rPr>
          <w:b w:val="0"/>
          <w:color w:val="000000" w:themeColor="text1"/>
          <w:szCs w:val="24"/>
          <w:lang w:val="sk-SK"/>
        </w:rPr>
        <w:t>, vedúci</w:t>
      </w:r>
      <w:r w:rsidR="00966E8A">
        <w:rPr>
          <w:b w:val="0"/>
          <w:color w:val="000000" w:themeColor="text1"/>
          <w:szCs w:val="24"/>
          <w:lang w:val="sk-SK"/>
        </w:rPr>
        <w:t xml:space="preserve"> organizačnej zložky OZ Šariš</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45554B47"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966E8A" w:rsidRPr="00966E8A">
        <w:rPr>
          <w:rFonts w:ascii="Times New Roman" w:hAnsi="Times New Roman" w:cs="Times New Roman"/>
        </w:rPr>
        <w:t>SK15 0200 0000 0013 0110 0253</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002DDF95" w:rsidR="005D0A0A" w:rsidRPr="00135FD4" w:rsidRDefault="0034513D" w:rsidP="00966E8A">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r w:rsidR="00966E8A">
        <w:rPr>
          <w:rFonts w:cs="Arial"/>
          <w:b/>
          <w:szCs w:val="24"/>
        </w:rPr>
        <w:t>OZ Šariš</w:t>
      </w:r>
      <w:r w:rsidR="00006272" w:rsidRPr="00006272">
        <w:t xml:space="preserve"> </w:t>
      </w:r>
      <w:r w:rsidR="00006272">
        <w:t xml:space="preserve">- </w:t>
      </w:r>
      <w:r w:rsidR="00966E8A" w:rsidRPr="00966E8A">
        <w:rPr>
          <w:rFonts w:cs="Arial"/>
          <w:b/>
          <w:szCs w:val="24"/>
          <w:highlight w:val="yellow"/>
        </w:rPr>
        <w:t>časť „xx</w:t>
      </w:r>
      <w:r w:rsidR="00006272" w:rsidRPr="00966E8A">
        <w:rPr>
          <w:rFonts w:cs="Arial"/>
          <w:b/>
          <w:szCs w:val="24"/>
          <w:highlight w:val="yellow"/>
        </w:rPr>
        <w:t xml:space="preserve">“ – </w:t>
      </w:r>
      <w:r w:rsidR="00966E8A" w:rsidRPr="00966E8A">
        <w:rPr>
          <w:rFonts w:cs="Arial"/>
          <w:szCs w:val="24"/>
          <w:highlight w:val="yellow"/>
        </w:rPr>
        <w:t>dopísať konkrétnu časť podľa súťažných podkladov!!!</w:t>
      </w:r>
      <w:r w:rsidR="00006272" w:rsidRPr="00966E8A">
        <w:rPr>
          <w:rFonts w:cs="Arial"/>
          <w:szCs w:val="24"/>
          <w:highlight w:val="yellow"/>
        </w:rPr>
        <w:t>)</w:t>
      </w:r>
      <w:r w:rsidR="00006272" w:rsidRPr="00006272">
        <w:rPr>
          <w:rFonts w:cs="Arial"/>
          <w:b/>
          <w:szCs w:val="24"/>
        </w:rPr>
        <w:t xml:space="preserv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w:t>
      </w:r>
      <w:proofErr w:type="spellStart"/>
      <w:r w:rsidR="00B5038E" w:rsidRPr="00135FD4">
        <w:rPr>
          <w:szCs w:val="24"/>
          <w:highlight w:val="yellow"/>
          <w:lang w:eastAsia="cs-CZ"/>
        </w:rPr>
        <w:t>xxxxx</w:t>
      </w:r>
      <w:proofErr w:type="spellEnd"/>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lastRenderedPageBreak/>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ABF1C61" w14:textId="1A25446C" w:rsidR="00303F4E" w:rsidRPr="00966E8A" w:rsidRDefault="00E06105" w:rsidP="00966E8A">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5C000E00" w14:textId="22BE9EBB"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w:t>
      </w:r>
      <w:r w:rsidR="00415C7F">
        <w:rPr>
          <w:szCs w:val="24"/>
        </w:rPr>
        <w:lastRenderedPageBreak/>
        <w:t xml:space="preserve">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475E30D6" w14:textId="64A1FB1B" w:rsidR="00DF16BC" w:rsidRPr="00966E8A" w:rsidRDefault="0034513D" w:rsidP="00966E8A">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642D076D" w14:textId="75C55A24" w:rsidR="00852123" w:rsidRPr="00966E8A" w:rsidRDefault="00852123" w:rsidP="00966E8A">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r w:rsidR="00966E8A">
        <w:t xml:space="preserve"> </w:t>
      </w:r>
      <w:r w:rsidR="00966E8A" w:rsidRPr="00966E8A">
        <w:rPr>
          <w:b/>
          <w:highlight w:val="yellow"/>
        </w:rPr>
        <w:t xml:space="preserve">časť „1“ – 47 </w:t>
      </w:r>
      <w:r w:rsidR="00966E8A" w:rsidRPr="00966E8A">
        <w:rPr>
          <w:b/>
          <w:highlight w:val="yellow"/>
        </w:rPr>
        <w:t xml:space="preserve">300,- :EUR bez DPH, </w:t>
      </w:r>
      <w:r w:rsidR="00966E8A" w:rsidRPr="00966E8A">
        <w:rPr>
          <w:b/>
          <w:highlight w:val="yellow"/>
        </w:rPr>
        <w:t xml:space="preserve">časť „2“ – 15 </w:t>
      </w:r>
      <w:r w:rsidR="00966E8A" w:rsidRPr="00966E8A">
        <w:rPr>
          <w:b/>
          <w:highlight w:val="yellow"/>
        </w:rPr>
        <w:t xml:space="preserve">400,- :EUR bez DPH, </w:t>
      </w:r>
      <w:r w:rsidR="00966E8A" w:rsidRPr="00966E8A">
        <w:rPr>
          <w:b/>
          <w:highlight w:val="yellow"/>
        </w:rPr>
        <w:t xml:space="preserve">časť „3“ – 11 </w:t>
      </w:r>
      <w:r w:rsidR="00966E8A" w:rsidRPr="00966E8A">
        <w:rPr>
          <w:b/>
          <w:highlight w:val="yellow"/>
        </w:rPr>
        <w:t xml:space="preserve">000,- :EUR bez DPH, </w:t>
      </w:r>
      <w:r w:rsidR="00966E8A" w:rsidRPr="00966E8A">
        <w:rPr>
          <w:b/>
          <w:highlight w:val="yellow"/>
        </w:rPr>
        <w:t xml:space="preserve">časť „4“ –   7 </w:t>
      </w:r>
      <w:r w:rsidR="00966E8A" w:rsidRPr="00966E8A">
        <w:rPr>
          <w:b/>
          <w:highlight w:val="yellow"/>
        </w:rPr>
        <w:t xml:space="preserve">700,- :EUR bez DPH, </w:t>
      </w:r>
      <w:r w:rsidR="00966E8A" w:rsidRPr="00966E8A">
        <w:rPr>
          <w:b/>
          <w:highlight w:val="yellow"/>
        </w:rPr>
        <w:t xml:space="preserve">časť „5“ –   8 </w:t>
      </w:r>
      <w:r w:rsidR="00966E8A" w:rsidRPr="00966E8A">
        <w:rPr>
          <w:b/>
          <w:highlight w:val="yellow"/>
        </w:rPr>
        <w:t xml:space="preserve">800,- :EUR bez DPH, </w:t>
      </w:r>
      <w:r w:rsidR="00966E8A" w:rsidRPr="00966E8A">
        <w:rPr>
          <w:b/>
          <w:highlight w:val="yellow"/>
        </w:rPr>
        <w:t xml:space="preserve">časť „6“ – 19 </w:t>
      </w:r>
      <w:r w:rsidR="00966E8A" w:rsidRPr="00966E8A">
        <w:rPr>
          <w:b/>
          <w:highlight w:val="yellow"/>
        </w:rPr>
        <w:t>800,- :EUR bez DPH</w:t>
      </w:r>
      <w:r w:rsidR="00966E8A" w:rsidRPr="00966E8A">
        <w:rPr>
          <w:b/>
        </w:rPr>
        <w:t xml:space="preserve"> </w:t>
      </w:r>
      <w:r w:rsidRPr="00AA0AAA">
        <w:t xml:space="preserve">a to podľa toho, ktorá skutočnosť nastane skôr. Finančný limit predstavuje maximálnu výšku, ktorú uhradí </w:t>
      </w:r>
      <w:r w:rsidR="004B2A62">
        <w:t xml:space="preserve">objednávateľ zhotoviteľovi </w:t>
      </w:r>
      <w:r w:rsidRPr="00AA0AAA">
        <w:t xml:space="preserve">za predmet plnenia, pričom </w:t>
      </w:r>
      <w:r w:rsidR="004B2A62">
        <w:t>objednávateľ</w:t>
      </w:r>
      <w:r w:rsidRPr="00AA0AAA">
        <w:t xml:space="preserve"> negarantuje, že predmetný finančný limit naplní. </w:t>
      </w:r>
      <w:r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w:t>
      </w:r>
      <w:r w:rsidR="00956598" w:rsidRPr="00011884">
        <w:rPr>
          <w:b/>
        </w:rPr>
        <w:lastRenderedPageBreak/>
        <w:t xml:space="preserve">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440C58F5" w14:textId="2F2009CB"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lastRenderedPageBreak/>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7674D204" w14:textId="256102A8" w:rsidR="0034513D" w:rsidRPr="005D0A0A" w:rsidRDefault="0034513D" w:rsidP="00966E8A">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00F3F58E"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xml:space="preserve">. Všetky </w:t>
      </w:r>
      <w:r w:rsidRPr="005D0A0A">
        <w:rPr>
          <w:lang w:val="sk-SK"/>
        </w:rPr>
        <w:lastRenderedPageBreak/>
        <w:t>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5D71A14" w14:textId="0F05E1DE" w:rsidR="00C36CA9" w:rsidRPr="00966E8A" w:rsidRDefault="00B35444" w:rsidP="00966E8A">
      <w:pPr>
        <w:widowControl/>
        <w:numPr>
          <w:ilvl w:val="0"/>
          <w:numId w:val="6"/>
        </w:numPr>
        <w:suppressAutoHyphens w:val="0"/>
        <w:rPr>
          <w:bCs/>
        </w:rPr>
      </w:pPr>
      <w:r>
        <w:rPr>
          <w:bCs/>
        </w:rPr>
        <w:t>Popri zmluvnej pokute má objednávateľ nárok aj na náhradu škody prevyšujúcej zmluvnú pokutu.</w:t>
      </w: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w:t>
      </w:r>
      <w:r w:rsidRPr="00AA0AAA">
        <w:rPr>
          <w:bCs/>
        </w:rPr>
        <w:lastRenderedPageBreak/>
        <w:t xml:space="preserve">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6653E1FA" w14:textId="6FB6C1B6" w:rsidR="00C36CA9" w:rsidRPr="00AA0AAA" w:rsidRDefault="00C36CA9" w:rsidP="00966E8A">
      <w:pPr>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17B4562C" w:rsidR="005D0A0A" w:rsidRPr="00C32B8A" w:rsidRDefault="005D0A0A" w:rsidP="00B62D3E">
      <w:r w:rsidRPr="00185DD4">
        <w:t>V</w:t>
      </w:r>
      <w:r w:rsidR="00185DD4" w:rsidRPr="00185DD4">
        <w:t> </w:t>
      </w:r>
      <w:r w:rsidR="00966E8A">
        <w:t>Prešove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7B6574A4"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966E8A">
        <w:rPr>
          <w:b w:val="0"/>
          <w:lang w:val="sk-SK"/>
        </w:rPr>
        <w:t>Ing. Jozef Krochta</w:t>
      </w:r>
      <w:r w:rsidR="002E624E" w:rsidRPr="002E624E">
        <w:rPr>
          <w:b w:val="0"/>
          <w:lang w:val="sk-SK"/>
        </w:rPr>
        <w:t xml:space="preserve">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2B6E1867"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r w:rsidR="00966E8A">
        <w:rPr>
          <w:rFonts w:cs="Arial"/>
          <w:color w:val="000000" w:themeColor="text1"/>
          <w:szCs w:val="24"/>
        </w:rPr>
        <w:t xml:space="preserve"> OZ Šariš</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lastRenderedPageBreak/>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0951F487" w:rsidR="00A37086" w:rsidRPr="00A37086" w:rsidRDefault="00966E8A"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Pr>
          <w:color w:val="000000" w:themeColor="text1"/>
          <w:sz w:val="24"/>
          <w:szCs w:val="24"/>
        </w:rPr>
        <w:t>Lakernícke</w:t>
      </w:r>
      <w:bookmarkStart w:id="1" w:name="_GoBack"/>
      <w:bookmarkEnd w:id="1"/>
      <w:proofErr w:type="spellEnd"/>
      <w:r w:rsidR="00A37086"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8C028" w14:textId="77777777" w:rsidR="0014785D" w:rsidRDefault="0014785D">
      <w:r>
        <w:separator/>
      </w:r>
    </w:p>
  </w:endnote>
  <w:endnote w:type="continuationSeparator" w:id="0">
    <w:p w14:paraId="247A8020" w14:textId="77777777" w:rsidR="0014785D" w:rsidRDefault="0014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8830" w14:textId="77777777" w:rsidR="0014785D" w:rsidRDefault="0014785D">
      <w:r>
        <w:separator/>
      </w:r>
    </w:p>
  </w:footnote>
  <w:footnote w:type="continuationSeparator" w:id="0">
    <w:p w14:paraId="5F31B4B4" w14:textId="77777777" w:rsidR="0014785D" w:rsidRDefault="0014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165C9"/>
    <w:rsid w:val="00133911"/>
    <w:rsid w:val="00133C7A"/>
    <w:rsid w:val="00135FD4"/>
    <w:rsid w:val="00144B50"/>
    <w:rsid w:val="0014785D"/>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939A8"/>
    <w:rsid w:val="00293B83"/>
    <w:rsid w:val="002A6EA0"/>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66E8A"/>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4922</Words>
  <Characters>28056</Characters>
  <Application>Microsoft Office Word</Application>
  <DocSecurity>0</DocSecurity>
  <Lines>233</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Východ</vt:lpstr>
      <vt:lpstr>sídlo organizačnej zložky: Jovická č.2, 048 01 Rožňava</vt:lpstr>
      <vt:lpstr>IČO: 	360 383 51		</vt:lpstr>
      <vt:lpstr>DIČ:	SK 2020087982</vt:lpstr>
      <vt:lpstr>IČ DPH:	SK2020087982</vt:lpstr>
      <vt:lpstr>zastúpený:	Ing. Jozef Sedlák  , vedúci organizačnej zložky OZ Východ</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32913</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2024-03-22T20:49:00Z</dcterms:created>
  <dcterms:modified xsi:type="dcterms:W3CDTF">2024-04-29T13:31:00Z</dcterms:modified>
</cp:coreProperties>
</file>