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5D388D8D"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E75C37">
        <w:rPr>
          <w:rFonts w:asciiTheme="minorHAnsi" w:eastAsia="Arial" w:hAnsiTheme="minorHAnsi" w:cstheme="minorHAnsi"/>
          <w:b/>
          <w:sz w:val="20"/>
          <w:szCs w:val="20"/>
        </w:rPr>
        <w:t>BR</w:t>
      </w:r>
      <w:r w:rsidR="008C12F5" w:rsidRPr="009107B1">
        <w:rPr>
          <w:rFonts w:asciiTheme="minorHAnsi" w:eastAsia="Arial" w:hAnsiTheme="minorHAnsi" w:cstheme="minorHAnsi"/>
          <w:b/>
          <w:sz w:val="20"/>
          <w:szCs w:val="20"/>
        </w:rPr>
        <w:t xml:space="preserve">_Výzva č. </w:t>
      </w:r>
      <w:r w:rsidR="009107B1" w:rsidRPr="009107B1">
        <w:rPr>
          <w:rFonts w:asciiTheme="minorHAnsi" w:eastAsia="Arial" w:hAnsiTheme="minorHAnsi" w:cstheme="minorHAnsi"/>
          <w:b/>
          <w:sz w:val="20"/>
          <w:szCs w:val="20"/>
        </w:rPr>
        <w:t>1</w:t>
      </w:r>
      <w:r w:rsidR="00E75C37">
        <w:rPr>
          <w:rFonts w:asciiTheme="minorHAnsi" w:eastAsia="Arial" w:hAnsiTheme="minorHAnsi" w:cstheme="minorHAnsi"/>
          <w:b/>
          <w:sz w:val="20"/>
          <w:szCs w:val="20"/>
        </w:rPr>
        <w:t>8</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60CE1EA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B26B7C">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08D3E4F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E75C37">
        <w:rPr>
          <w:rFonts w:asciiTheme="minorHAnsi" w:hAnsiTheme="minorHAnsi" w:cstheme="minorHAnsi"/>
          <w:bCs/>
          <w:sz w:val="20"/>
          <w:szCs w:val="20"/>
        </w:rPr>
        <w:t>Brezno</w:t>
      </w:r>
      <w:r w:rsidR="0059679A" w:rsidRPr="00F10351">
        <w:rPr>
          <w:rFonts w:asciiTheme="minorHAnsi" w:hAnsiTheme="minorHAnsi" w:cstheme="minorHAnsi"/>
          <w:bCs/>
          <w:sz w:val="20"/>
          <w:szCs w:val="20"/>
        </w:rPr>
        <w:t>.</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Josephine.</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1E8F952E"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503142">
        <w:rPr>
          <w:rFonts w:asciiTheme="minorHAnsi" w:hAnsiTheme="minorHAnsi" w:cstheme="minorHAnsi"/>
          <w:b/>
          <w:sz w:val="20"/>
          <w:szCs w:val="20"/>
        </w:rPr>
        <w:t>108</w:t>
      </w:r>
      <w:r w:rsidR="0064142E" w:rsidRPr="0064142E">
        <w:rPr>
          <w:rFonts w:asciiTheme="minorHAnsi" w:hAnsiTheme="minorHAnsi" w:cstheme="minorHAnsi"/>
          <w:b/>
          <w:sz w:val="20"/>
          <w:szCs w:val="20"/>
        </w:rPr>
        <w:t> 0</w:t>
      </w:r>
      <w:r w:rsidR="00503142">
        <w:rPr>
          <w:rFonts w:asciiTheme="minorHAnsi" w:hAnsiTheme="minorHAnsi" w:cstheme="minorHAnsi"/>
          <w:b/>
          <w:sz w:val="20"/>
          <w:szCs w:val="20"/>
        </w:rPr>
        <w:t>40</w:t>
      </w:r>
      <w:r w:rsidR="0064142E" w:rsidRPr="0064142E">
        <w:rPr>
          <w:rFonts w:asciiTheme="minorHAnsi" w:hAnsiTheme="minorHAnsi" w:cstheme="minorHAnsi"/>
          <w:b/>
          <w:sz w:val="20"/>
          <w:szCs w:val="20"/>
        </w:rPr>
        <w:t>,</w:t>
      </w:r>
      <w:r w:rsidR="00503142">
        <w:rPr>
          <w:rFonts w:asciiTheme="minorHAnsi" w:hAnsiTheme="minorHAnsi" w:cstheme="minorHAnsi"/>
          <w:b/>
          <w:sz w:val="20"/>
          <w:szCs w:val="20"/>
        </w:rPr>
        <w:t>18</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2BD4C0BA"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8F7DB1">
        <w:rPr>
          <w:rFonts w:asciiTheme="minorHAnsi" w:hAnsiTheme="minorHAnsi" w:cstheme="minorHAnsi"/>
          <w:b/>
          <w:sz w:val="20"/>
          <w:szCs w:val="20"/>
        </w:rPr>
        <w:t>BR</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8F7DB1">
        <w:rPr>
          <w:rFonts w:asciiTheme="minorHAnsi" w:hAnsiTheme="minorHAnsi" w:cstheme="minorHAnsi"/>
          <w:bCs/>
          <w:sz w:val="20"/>
          <w:szCs w:val="20"/>
        </w:rPr>
        <w:t>BR</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Predkladanie ponúk je umožnené iba autentifikovaným zaradeným záujemcom do daného zriadeného Dynamického nákupného systému. Zaradený záujemca sa prihlasuje do systému pomocou eID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18FC0496"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20</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F42AA3">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nachádza link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Mozilla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Edge.</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59841CDB"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20</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43125C">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.doc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.pdf</w:t>
      </w:r>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3111E" w14:textId="77777777" w:rsidR="002F2915" w:rsidRDefault="002F2915" w:rsidP="00654839">
      <w:r>
        <w:separator/>
      </w:r>
    </w:p>
  </w:endnote>
  <w:endnote w:type="continuationSeparator" w:id="0">
    <w:p w14:paraId="77FBF7DC" w14:textId="77777777" w:rsidR="002F2915" w:rsidRDefault="002F291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0C4B" w14:textId="77777777" w:rsidR="002F2915" w:rsidRDefault="002F2915" w:rsidP="00654839">
      <w:r>
        <w:separator/>
      </w:r>
    </w:p>
  </w:footnote>
  <w:footnote w:type="continuationSeparator" w:id="0">
    <w:p w14:paraId="01C120CA" w14:textId="77777777" w:rsidR="002F2915" w:rsidRDefault="002F291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86120"/>
    <w:rsid w:val="00093F70"/>
    <w:rsid w:val="000967B6"/>
    <w:rsid w:val="00096E87"/>
    <w:rsid w:val="000A15B8"/>
    <w:rsid w:val="000A221B"/>
    <w:rsid w:val="000A3B73"/>
    <w:rsid w:val="000A6C05"/>
    <w:rsid w:val="000A7CEB"/>
    <w:rsid w:val="000B3AB6"/>
    <w:rsid w:val="000C07C9"/>
    <w:rsid w:val="000C68CD"/>
    <w:rsid w:val="000C6B5B"/>
    <w:rsid w:val="000D1C7A"/>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30D8"/>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7156"/>
    <w:rsid w:val="002D7FEB"/>
    <w:rsid w:val="002E00EB"/>
    <w:rsid w:val="002E76C3"/>
    <w:rsid w:val="002F2915"/>
    <w:rsid w:val="002F3189"/>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43B4F"/>
    <w:rsid w:val="00552134"/>
    <w:rsid w:val="00557750"/>
    <w:rsid w:val="005724F0"/>
    <w:rsid w:val="00587BFE"/>
    <w:rsid w:val="00594EC2"/>
    <w:rsid w:val="0059679A"/>
    <w:rsid w:val="00596874"/>
    <w:rsid w:val="005A0BD3"/>
    <w:rsid w:val="005A0DEB"/>
    <w:rsid w:val="005B293A"/>
    <w:rsid w:val="005B570B"/>
    <w:rsid w:val="005C0D5C"/>
    <w:rsid w:val="005C395E"/>
    <w:rsid w:val="005D434E"/>
    <w:rsid w:val="005D678D"/>
    <w:rsid w:val="005E2F85"/>
    <w:rsid w:val="005E51A8"/>
    <w:rsid w:val="005F1859"/>
    <w:rsid w:val="005F4A17"/>
    <w:rsid w:val="0060008E"/>
    <w:rsid w:val="006133B4"/>
    <w:rsid w:val="00624949"/>
    <w:rsid w:val="00626354"/>
    <w:rsid w:val="0063775F"/>
    <w:rsid w:val="0064142E"/>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28E2"/>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A6530"/>
    <w:rsid w:val="00AF6DDD"/>
    <w:rsid w:val="00B0746C"/>
    <w:rsid w:val="00B170B8"/>
    <w:rsid w:val="00B225AB"/>
    <w:rsid w:val="00B2544B"/>
    <w:rsid w:val="00B26B7C"/>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BF2ABF"/>
    <w:rsid w:val="00C020B3"/>
    <w:rsid w:val="00C04C2C"/>
    <w:rsid w:val="00C04DBF"/>
    <w:rsid w:val="00C214CA"/>
    <w:rsid w:val="00C27FB6"/>
    <w:rsid w:val="00C35647"/>
    <w:rsid w:val="00C4059A"/>
    <w:rsid w:val="00C44CCE"/>
    <w:rsid w:val="00C5199E"/>
    <w:rsid w:val="00C61A88"/>
    <w:rsid w:val="00C76DE9"/>
    <w:rsid w:val="00C76E4D"/>
    <w:rsid w:val="00C87192"/>
    <w:rsid w:val="00CA108A"/>
    <w:rsid w:val="00CA6560"/>
    <w:rsid w:val="00CC4F8B"/>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769"/>
    <w:rsid w:val="00F2762C"/>
    <w:rsid w:val="00F2774F"/>
    <w:rsid w:val="00F310A3"/>
    <w:rsid w:val="00F322BD"/>
    <w:rsid w:val="00F35165"/>
    <w:rsid w:val="00F42AA3"/>
    <w:rsid w:val="00F5006D"/>
    <w:rsid w:val="00F543C2"/>
    <w:rsid w:val="00F545D4"/>
    <w:rsid w:val="00F604AE"/>
    <w:rsid w:val="00F659E3"/>
    <w:rsid w:val="00F7286C"/>
    <w:rsid w:val="00F72E9C"/>
    <w:rsid w:val="00F76D3E"/>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7</Pages>
  <Words>2943</Words>
  <Characters>16779</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147</cp:revision>
  <cp:lastPrinted>2022-03-01T15:01:00Z</cp:lastPrinted>
  <dcterms:created xsi:type="dcterms:W3CDTF">2023-10-30T15:34:00Z</dcterms:created>
  <dcterms:modified xsi:type="dcterms:W3CDTF">2024-06-04T06:25:00Z</dcterms:modified>
</cp:coreProperties>
</file>