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D80" w:rsidRPr="00F80D80" w:rsidRDefault="00F80D80" w:rsidP="00C33819">
      <w:pPr>
        <w:jc w:val="both"/>
        <w:rPr>
          <w:b/>
        </w:rPr>
      </w:pPr>
    </w:p>
    <w:p w:rsidR="00F80D80" w:rsidRPr="00F80D80" w:rsidRDefault="00F80D80" w:rsidP="00C33819">
      <w:pPr>
        <w:jc w:val="both"/>
        <w:rPr>
          <w:u w:val="single"/>
        </w:rPr>
      </w:pPr>
      <w:r w:rsidRPr="00F80D80">
        <w:rPr>
          <w:b/>
          <w:u w:val="single"/>
        </w:rPr>
        <w:t>OPIS PREDMETU ZÁKAZKY</w:t>
      </w:r>
    </w:p>
    <w:p w:rsidR="00C33819" w:rsidRPr="00217819" w:rsidRDefault="00C33819" w:rsidP="00C33819">
      <w:pPr>
        <w:jc w:val="both"/>
        <w:rPr>
          <w:b/>
          <w:szCs w:val="24"/>
        </w:rPr>
      </w:pPr>
    </w:p>
    <w:p w:rsidR="00C33819" w:rsidRPr="00217819" w:rsidRDefault="00C33819" w:rsidP="00C33819">
      <w:pPr>
        <w:jc w:val="both"/>
        <w:rPr>
          <w:szCs w:val="24"/>
        </w:rPr>
      </w:pPr>
      <w:r w:rsidRPr="00217819">
        <w:rPr>
          <w:szCs w:val="24"/>
        </w:rPr>
        <w:t xml:space="preserve">Požadovaná je dodávka nového </w:t>
      </w:r>
      <w:proofErr w:type="spellStart"/>
      <w:r w:rsidRPr="00217819">
        <w:rPr>
          <w:szCs w:val="24"/>
        </w:rPr>
        <w:t>deduplikačného</w:t>
      </w:r>
      <w:proofErr w:type="spellEnd"/>
      <w:r w:rsidRPr="00217819">
        <w:rPr>
          <w:szCs w:val="24"/>
        </w:rPr>
        <w:t xml:space="preserve"> diskového úložného systému určeného pre zálohovanie dát.</w:t>
      </w:r>
    </w:p>
    <w:p w:rsidR="00EF1918" w:rsidRDefault="00EF1918" w:rsidP="00EF1918">
      <w:pPr>
        <w:jc w:val="both"/>
        <w:rPr>
          <w:szCs w:val="24"/>
        </w:rPr>
      </w:pPr>
    </w:p>
    <w:p w:rsidR="00C33819" w:rsidRDefault="00EF1918" w:rsidP="00EF1918">
      <w:pPr>
        <w:jc w:val="both"/>
      </w:pPr>
      <w:r w:rsidRPr="008F155E">
        <w:t>Lehota dodania: najneskôr do 6 týždňov odo dňa nadobudnutia účinnosti kúpnej zmluvy</w:t>
      </w:r>
      <w:r>
        <w:t>.</w:t>
      </w:r>
    </w:p>
    <w:p w:rsidR="00EF1918" w:rsidRPr="00217819" w:rsidRDefault="00EF1918" w:rsidP="00EF1918">
      <w:pPr>
        <w:jc w:val="both"/>
        <w:rPr>
          <w:szCs w:val="24"/>
        </w:rPr>
      </w:pPr>
      <w:bookmarkStart w:id="0" w:name="_GoBack"/>
      <w:bookmarkEnd w:id="0"/>
    </w:p>
    <w:p w:rsidR="00C33819" w:rsidRPr="00C33819" w:rsidRDefault="00C33819" w:rsidP="00C33819">
      <w:pPr>
        <w:jc w:val="both"/>
        <w:rPr>
          <w:b/>
        </w:rPr>
      </w:pPr>
      <w:bookmarkStart w:id="1" w:name="_Toc22638957"/>
      <w:r w:rsidRPr="00C33819">
        <w:rPr>
          <w:b/>
        </w:rPr>
        <w:t>Technická špecifikácia</w:t>
      </w:r>
      <w:bookmarkEnd w:id="1"/>
    </w:p>
    <w:p w:rsidR="00C33819" w:rsidRPr="00217819" w:rsidRDefault="00C33819" w:rsidP="00C33819">
      <w:pPr>
        <w:jc w:val="both"/>
        <w:rPr>
          <w:szCs w:val="24"/>
        </w:rPr>
      </w:pPr>
      <w:r w:rsidRPr="00217819">
        <w:rPr>
          <w:szCs w:val="24"/>
        </w:rPr>
        <w:t xml:space="preserve">Dodávka nového </w:t>
      </w:r>
      <w:proofErr w:type="spellStart"/>
      <w:r w:rsidRPr="00217819">
        <w:rPr>
          <w:szCs w:val="24"/>
        </w:rPr>
        <w:t>deduplikačného</w:t>
      </w:r>
      <w:proofErr w:type="spellEnd"/>
      <w:r w:rsidRPr="00217819">
        <w:rPr>
          <w:szCs w:val="24"/>
        </w:rPr>
        <w:t xml:space="preserve"> úložiska</w:t>
      </w:r>
    </w:p>
    <w:p w:rsidR="00C33819" w:rsidRPr="00217819" w:rsidRDefault="00C33819" w:rsidP="00C33819">
      <w:pPr>
        <w:jc w:val="both"/>
        <w:rPr>
          <w:szCs w:val="24"/>
        </w:rPr>
      </w:pPr>
      <w:r w:rsidRPr="00217819">
        <w:rPr>
          <w:szCs w:val="24"/>
        </w:rPr>
        <w:t>Zadávateľ požaduje splnenie nasledujúcich parametrov.</w:t>
      </w:r>
    </w:p>
    <w:p w:rsidR="00C33819" w:rsidRDefault="00C33819" w:rsidP="00C33819">
      <w:pPr>
        <w:jc w:val="both"/>
        <w:rPr>
          <w:szCs w:val="24"/>
        </w:rPr>
      </w:pPr>
    </w:p>
    <w:p w:rsidR="00C33819" w:rsidRPr="00217819" w:rsidRDefault="00C33819" w:rsidP="00C33819">
      <w:pPr>
        <w:jc w:val="both"/>
        <w:rPr>
          <w:szCs w:val="24"/>
        </w:rPr>
      </w:pPr>
    </w:p>
    <w:p w:rsidR="00C33819" w:rsidRPr="00C33819" w:rsidRDefault="00C33819" w:rsidP="00C33819">
      <w:pPr>
        <w:jc w:val="both"/>
        <w:rPr>
          <w:b/>
        </w:rPr>
      </w:pPr>
      <w:bookmarkStart w:id="2" w:name="_Toc22638959"/>
      <w:r w:rsidRPr="00C33819">
        <w:rPr>
          <w:b/>
        </w:rPr>
        <w:t>Výkon a škálovateľnosť</w:t>
      </w:r>
      <w:bookmarkEnd w:id="2"/>
    </w:p>
    <w:tbl>
      <w:tblPr>
        <w:tblW w:w="9776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20" w:firstRow="1" w:lastRow="0" w:firstColumn="0" w:lastColumn="0" w:noHBand="0" w:noVBand="1"/>
      </w:tblPr>
      <w:tblGrid>
        <w:gridCol w:w="9776"/>
      </w:tblGrid>
      <w:tr w:rsidR="00C33819" w:rsidRPr="00F873B9" w:rsidTr="009C3F3B">
        <w:trPr>
          <w:tblHeader/>
        </w:trPr>
        <w:tc>
          <w:tcPr>
            <w:tcW w:w="97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b/>
                <w:bCs/>
                <w:color w:val="FFFFFF"/>
                <w:szCs w:val="24"/>
              </w:rPr>
            </w:pPr>
            <w:r w:rsidRPr="00F873B9">
              <w:rPr>
                <w:rFonts w:eastAsia="Calibri"/>
                <w:b/>
                <w:bCs/>
                <w:color w:val="FFFFFF"/>
                <w:szCs w:val="24"/>
              </w:rPr>
              <w:t>Požadovaný parameter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1 ks </w:t>
            </w:r>
            <w:proofErr w:type="spellStart"/>
            <w:r w:rsidRPr="00F873B9">
              <w:rPr>
                <w:rFonts w:eastAsia="Calibri"/>
                <w:szCs w:val="24"/>
              </w:rPr>
              <w:t>deduplikačného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diskového úložiska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diskové úložisko musí disponovať aspoň </w:t>
            </w:r>
            <w:r w:rsidRPr="00F873B9">
              <w:rPr>
                <w:rFonts w:eastAsia="Calibri"/>
                <w:b/>
                <w:bCs/>
                <w:szCs w:val="24"/>
              </w:rPr>
              <w:t xml:space="preserve">34 TB čistej využiteľnej </w:t>
            </w:r>
            <w:r w:rsidRPr="00F873B9">
              <w:rPr>
                <w:rFonts w:eastAsia="Calibri"/>
                <w:b/>
                <w:bCs/>
                <w:color w:val="000000"/>
                <w:szCs w:val="24"/>
              </w:rPr>
              <w:t xml:space="preserve">diskovej </w:t>
            </w:r>
            <w:r w:rsidRPr="00F873B9">
              <w:rPr>
                <w:rFonts w:eastAsia="Calibri"/>
                <w:b/>
                <w:bCs/>
                <w:szCs w:val="24"/>
              </w:rPr>
              <w:t>kapacity</w:t>
            </w:r>
            <w:r w:rsidRPr="00F873B9">
              <w:rPr>
                <w:rFonts w:eastAsia="Calibri"/>
                <w:szCs w:val="24"/>
              </w:rPr>
              <w:t xml:space="preserve"> (kapacita, ktorá je dostupná pre uloženie dát a je možné ju skontrolovať prostredníctvom management nástrojov)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diskové úložisko musí umožniť rozširovanie minimálne do 170 TB </w:t>
            </w:r>
            <w:r w:rsidRPr="00F873B9">
              <w:rPr>
                <w:rFonts w:eastAsia="Calibri"/>
                <w:color w:val="000000"/>
                <w:szCs w:val="24"/>
              </w:rPr>
              <w:t>čistej diskovej kapacity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minimálna priepustnosť pre zápis 14 TB/h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minimálna priepustnosť pre čítanie 3 TB/h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podpora až 270 konkurenčných zálohovacích úloh na fyzický systém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zariadenie musí pri ukladaní dát využívať princíp in-</w:t>
            </w:r>
            <w:proofErr w:type="spellStart"/>
            <w:r w:rsidRPr="00F873B9">
              <w:rPr>
                <w:rFonts w:eastAsia="Calibri"/>
                <w:szCs w:val="24"/>
              </w:rPr>
              <w:t>line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deduplikácie na cieli na princípe variabilnej dĺžky bloku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architektúra diskového úložiska musí pre deduplikáciu využívať procesorový výkon a nesmie byť závislá </w:t>
            </w:r>
            <w:r>
              <w:rPr>
                <w:rFonts w:eastAsia="Calibri"/>
                <w:szCs w:val="24"/>
              </w:rPr>
              <w:t>od</w:t>
            </w:r>
            <w:r w:rsidRPr="00F873B9">
              <w:rPr>
                <w:rFonts w:eastAsia="Calibri"/>
                <w:szCs w:val="24"/>
              </w:rPr>
              <w:t xml:space="preserve"> počtu a typu </w:t>
            </w:r>
            <w:proofErr w:type="spellStart"/>
            <w:r w:rsidRPr="00F873B9">
              <w:rPr>
                <w:rFonts w:eastAsia="Calibri"/>
                <w:szCs w:val="24"/>
              </w:rPr>
              <w:t>backendových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diskov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zálohovacie diskové úložisko musí konsolidovať a centralizovať zálohovacie prostredia (lokálne aj vzdialené) – všetky dáta budú </w:t>
            </w:r>
            <w:proofErr w:type="spellStart"/>
            <w:r w:rsidRPr="00F873B9">
              <w:rPr>
                <w:rFonts w:eastAsia="Calibri"/>
                <w:szCs w:val="24"/>
              </w:rPr>
              <w:t>deduplikované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v rámci jedného boxu (žiadne separátne množiny </w:t>
            </w:r>
            <w:proofErr w:type="spellStart"/>
            <w:r w:rsidRPr="00F873B9">
              <w:rPr>
                <w:rFonts w:eastAsia="Calibri"/>
                <w:szCs w:val="24"/>
              </w:rPr>
              <w:t>deduplikovaných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úložísk)</w:t>
            </w:r>
          </w:p>
        </w:tc>
      </w:tr>
    </w:tbl>
    <w:p w:rsidR="00C33819" w:rsidRDefault="00C33819" w:rsidP="00C33819">
      <w:pPr>
        <w:jc w:val="both"/>
      </w:pPr>
    </w:p>
    <w:p w:rsidR="00C33819" w:rsidRPr="00C33819" w:rsidRDefault="00C33819" w:rsidP="00C33819">
      <w:pPr>
        <w:jc w:val="both"/>
      </w:pPr>
    </w:p>
    <w:p w:rsidR="00C33819" w:rsidRPr="00C33819" w:rsidRDefault="00C33819" w:rsidP="00C33819">
      <w:pPr>
        <w:jc w:val="both"/>
        <w:rPr>
          <w:b/>
        </w:rPr>
      </w:pPr>
      <w:bookmarkStart w:id="3" w:name="_Toc22638960"/>
      <w:r w:rsidRPr="00C33819">
        <w:rPr>
          <w:b/>
        </w:rPr>
        <w:t xml:space="preserve">Integrácia a </w:t>
      </w:r>
      <w:proofErr w:type="spellStart"/>
      <w:r w:rsidRPr="00C33819">
        <w:rPr>
          <w:b/>
        </w:rPr>
        <w:t>interoperabilita</w:t>
      </w:r>
      <w:bookmarkEnd w:id="3"/>
      <w:proofErr w:type="spellEnd"/>
    </w:p>
    <w:tbl>
      <w:tblPr>
        <w:tblW w:w="9776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20" w:firstRow="1" w:lastRow="0" w:firstColumn="0" w:lastColumn="0" w:noHBand="0" w:noVBand="1"/>
      </w:tblPr>
      <w:tblGrid>
        <w:gridCol w:w="9776"/>
      </w:tblGrid>
      <w:tr w:rsidR="00C33819" w:rsidRPr="00F873B9" w:rsidTr="009C3F3B">
        <w:trPr>
          <w:tblHeader/>
        </w:trPr>
        <w:tc>
          <w:tcPr>
            <w:tcW w:w="97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b/>
                <w:bCs/>
                <w:color w:val="FFFFFF"/>
                <w:szCs w:val="24"/>
              </w:rPr>
            </w:pPr>
            <w:r w:rsidRPr="00F873B9">
              <w:rPr>
                <w:rFonts w:eastAsia="Calibri"/>
                <w:b/>
                <w:bCs/>
                <w:color w:val="FFFFFF"/>
                <w:szCs w:val="24"/>
              </w:rPr>
              <w:t>Požadovaný parameter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zariadenie musí podporovať minimálne nasledujúce protokoly: akceleračný protokol pre integráciu s aplikáciami tretích strán a pre prenos </w:t>
            </w:r>
            <w:proofErr w:type="spellStart"/>
            <w:r w:rsidRPr="00F873B9">
              <w:rPr>
                <w:rFonts w:eastAsia="Calibri"/>
                <w:szCs w:val="24"/>
              </w:rPr>
              <w:t>deduplikačného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algoritmu na zálohovací server/klienta, CIFS, NFS, a musí umožniť ich súčasné použitie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zariadenie musí  umožňovať priamu integráciu s rôznymi typmi zálohovacích SW (minimálne </w:t>
            </w:r>
            <w:proofErr w:type="spellStart"/>
            <w:r w:rsidRPr="00F873B9">
              <w:rPr>
                <w:rFonts w:eastAsia="Calibri"/>
                <w:szCs w:val="24"/>
              </w:rPr>
              <w:t>Veeam</w:t>
            </w:r>
            <w:proofErr w:type="spellEnd"/>
            <w:r w:rsidRPr="00F873B9">
              <w:rPr>
                <w:rFonts w:eastAsia="Calibri"/>
                <w:szCs w:val="24"/>
              </w:rPr>
              <w:t>)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zálohovacie diskové úložisko musí byť univerzálne z hľadiska podpory typov zálohovaných dát, musí podporovať všetky dátové typy, používané v produkčnom prostredí – súbor a tlač, databázy, emaily, </w:t>
            </w:r>
            <w:proofErr w:type="spellStart"/>
            <w:r w:rsidRPr="00F873B9">
              <w:rPr>
                <w:rFonts w:eastAsia="Calibri"/>
                <w:szCs w:val="24"/>
              </w:rPr>
              <w:t>VMware</w:t>
            </w:r>
            <w:proofErr w:type="spellEnd"/>
            <w:r w:rsidRPr="00F873B9">
              <w:rPr>
                <w:rFonts w:eastAsia="Calibri"/>
                <w:szCs w:val="24"/>
              </w:rPr>
              <w:t>, Oracle, MS Exchange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deduplikácia musí byť vykonávaná naprieč celým zálohovacím prostredím – naprieč všetkými aplikáciami a naprieč cieľovým úložiskom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lastRenderedPageBreak/>
              <w:t>zariadenie musí umožniť súčasnú podporu štandardných aplikácií, platforiem a protokolov bez nutnosti zmeny inštalovanej infraštruktúry (napr. nutnosť výmeny zálohovacieho SW, zmeny topológie siete a pod.)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diskové úložisko musí umožniť ukladať dáta aj pre archívne účely s funkcionalitou nastavení retenčných politik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diskové úložisko musí byť certifikované podľa SEC 17a-4f nebo ekvivalentnej európskej nebo slovenskej normy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diskové úložisko musí umožniť distribúciu </w:t>
            </w:r>
            <w:proofErr w:type="spellStart"/>
            <w:r w:rsidRPr="00F873B9">
              <w:rPr>
                <w:rFonts w:eastAsia="Calibri"/>
                <w:szCs w:val="24"/>
              </w:rPr>
              <w:t>deduplikačného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algoritmu z cieľového </w:t>
            </w:r>
            <w:proofErr w:type="spellStart"/>
            <w:r w:rsidRPr="00F873B9">
              <w:rPr>
                <w:rFonts w:eastAsia="Calibri"/>
                <w:szCs w:val="24"/>
              </w:rPr>
              <w:t>deduplikačného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úložiska na zdrojové zariadenie (backup klienta </w:t>
            </w:r>
            <w:r>
              <w:rPr>
                <w:rFonts w:eastAsia="Calibri"/>
                <w:szCs w:val="24"/>
              </w:rPr>
              <w:t>alebo</w:t>
            </w:r>
            <w:r w:rsidRPr="00F873B9">
              <w:rPr>
                <w:rFonts w:eastAsia="Calibri"/>
                <w:szCs w:val="24"/>
              </w:rPr>
              <w:t xml:space="preserve"> backup server) z dôvodu výkonu a</w:t>
            </w:r>
            <w:r>
              <w:rPr>
                <w:rFonts w:eastAsia="Calibri"/>
                <w:szCs w:val="24"/>
              </w:rPr>
              <w:t> </w:t>
            </w:r>
            <w:r w:rsidRPr="00F873B9">
              <w:rPr>
                <w:rFonts w:eastAsia="Calibri"/>
                <w:szCs w:val="24"/>
              </w:rPr>
              <w:t>škálovateľnosti prostredí a z dôvodu úspor na slabých dátových linkách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diskové úložisko musí disponovať funkciou </w:t>
            </w:r>
            <w:proofErr w:type="spellStart"/>
            <w:r w:rsidRPr="00F873B9">
              <w:rPr>
                <w:rFonts w:eastAsia="Calibri"/>
                <w:szCs w:val="24"/>
              </w:rPr>
              <w:t>multitenancy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– umožniť logické delenie diskového priestoru pre rôzne skupiny užívateľov s právami len na tieto logické jednotky a s možnosťou definície </w:t>
            </w:r>
            <w:proofErr w:type="spellStart"/>
            <w:r w:rsidRPr="00F873B9">
              <w:rPr>
                <w:rFonts w:eastAsia="Calibri"/>
                <w:szCs w:val="24"/>
              </w:rPr>
              <w:t>tenant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administrátora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možnosť obnovy zálohovaných virtuálnych serverov </w:t>
            </w:r>
            <w:proofErr w:type="spellStart"/>
            <w:r w:rsidRPr="00F873B9">
              <w:rPr>
                <w:rFonts w:eastAsia="Calibri"/>
                <w:szCs w:val="24"/>
              </w:rPr>
              <w:t>VMware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priamo na prostrediach ponúkaného úložiska bez nutnosti prenosu dát do produkčného prostredia (možnosť naštartovania VM, obnovy jedného súboru alebo presun celej bežiacej VM do produkčného </w:t>
            </w:r>
            <w:proofErr w:type="spellStart"/>
            <w:r w:rsidRPr="00F873B9">
              <w:rPr>
                <w:rFonts w:eastAsia="Calibri"/>
                <w:szCs w:val="24"/>
              </w:rPr>
              <w:t>clustru</w:t>
            </w:r>
            <w:proofErr w:type="spellEnd"/>
            <w:r w:rsidRPr="00F873B9">
              <w:rPr>
                <w:rFonts w:eastAsia="Calibri"/>
                <w:szCs w:val="24"/>
              </w:rPr>
              <w:t>)</w:t>
            </w:r>
          </w:p>
        </w:tc>
      </w:tr>
    </w:tbl>
    <w:p w:rsidR="00C33819" w:rsidRPr="00C33819" w:rsidRDefault="00C33819" w:rsidP="00C33819"/>
    <w:p w:rsidR="00C33819" w:rsidRPr="00D937A2" w:rsidRDefault="00C33819" w:rsidP="00C33819">
      <w:pPr>
        <w:jc w:val="both"/>
        <w:rPr>
          <w:lang w:eastAsia="en-US"/>
        </w:rPr>
      </w:pPr>
    </w:p>
    <w:p w:rsidR="00C33819" w:rsidRPr="00C33819" w:rsidRDefault="00C33819" w:rsidP="00C33819">
      <w:pPr>
        <w:rPr>
          <w:b/>
        </w:rPr>
      </w:pPr>
      <w:bookmarkStart w:id="4" w:name="_Toc22638961"/>
      <w:r w:rsidRPr="00C33819">
        <w:rPr>
          <w:b/>
        </w:rPr>
        <w:t>Replikácia</w:t>
      </w:r>
      <w:bookmarkEnd w:id="4"/>
    </w:p>
    <w:p w:rsidR="00C33819" w:rsidRDefault="00C33819" w:rsidP="00C33819">
      <w:pPr>
        <w:jc w:val="both"/>
        <w:rPr>
          <w:szCs w:val="24"/>
        </w:rPr>
      </w:pPr>
      <w:r w:rsidRPr="00217819">
        <w:rPr>
          <w:szCs w:val="24"/>
        </w:rPr>
        <w:t>V dopytovanom riešení ni</w:t>
      </w:r>
      <w:r w:rsidRPr="00217819">
        <w:rPr>
          <w:color w:val="000000"/>
          <w:szCs w:val="24"/>
        </w:rPr>
        <w:t xml:space="preserve">e je vyžadovaná dodávka licencií pre replikáciu, avšak riešenie musí spĺňať nasledujúce </w:t>
      </w:r>
      <w:r w:rsidRPr="00217819">
        <w:rPr>
          <w:szCs w:val="24"/>
        </w:rPr>
        <w:t>funkčné požiadavky pre prípad tvorby DR riešenia v budúcnosti.</w:t>
      </w:r>
    </w:p>
    <w:p w:rsidR="00C33819" w:rsidRPr="00217819" w:rsidRDefault="00C33819" w:rsidP="00C33819">
      <w:pPr>
        <w:jc w:val="both"/>
        <w:rPr>
          <w:szCs w:val="24"/>
        </w:rPr>
      </w:pPr>
    </w:p>
    <w:tbl>
      <w:tblPr>
        <w:tblW w:w="9776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20" w:firstRow="1" w:lastRow="0" w:firstColumn="0" w:lastColumn="0" w:noHBand="0" w:noVBand="1"/>
      </w:tblPr>
      <w:tblGrid>
        <w:gridCol w:w="9776"/>
      </w:tblGrid>
      <w:tr w:rsidR="00C33819" w:rsidRPr="00F873B9" w:rsidTr="009C3F3B">
        <w:trPr>
          <w:tblHeader/>
        </w:trPr>
        <w:tc>
          <w:tcPr>
            <w:tcW w:w="97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C33819" w:rsidRPr="00F873B9" w:rsidRDefault="00C33819" w:rsidP="00C33819">
            <w:pPr>
              <w:jc w:val="both"/>
              <w:rPr>
                <w:rFonts w:eastAsia="Calibri"/>
                <w:b/>
                <w:bCs/>
                <w:color w:val="FFFFFF"/>
                <w:szCs w:val="24"/>
              </w:rPr>
            </w:pPr>
            <w:r w:rsidRPr="00F873B9">
              <w:rPr>
                <w:rFonts w:eastAsia="Calibri"/>
                <w:b/>
                <w:bCs/>
                <w:color w:val="FFFFFF"/>
                <w:szCs w:val="24"/>
              </w:rPr>
              <w:t>Požadovaný parameter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DBE5F1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diskové úložisko musí obsahovať licencie pre replikáciu do záložnej lokality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auto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diskové úložisko musí posielať iba </w:t>
            </w:r>
            <w:proofErr w:type="spellStart"/>
            <w:r w:rsidRPr="00F873B9">
              <w:rPr>
                <w:rFonts w:eastAsia="Calibri"/>
                <w:szCs w:val="24"/>
              </w:rPr>
              <w:t>deduplikované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a skomprimované dáta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DBE5F1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diskové úložisko musí podporovať aspoň nasledujúce scenáre pre replikáciu: 1:1, M:1 a kaskádovú replikáciu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auto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replikáciu musí byť možné spustiť v rovnakom čase ako zálohu bez dopadu na výkon zálohy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DBE5F1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diskové úložisko musí umožniť riadenie replikácie v prostredí zálohovacieho SW</w:t>
            </w:r>
          </w:p>
        </w:tc>
      </w:tr>
      <w:tr w:rsidR="00C33819" w:rsidRPr="00F873B9" w:rsidTr="009C3F3B">
        <w:tc>
          <w:tcPr>
            <w:tcW w:w="9776" w:type="dxa"/>
            <w:shd w:val="clear" w:color="auto" w:fill="auto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diskové úložisko musí umožniť funkcionalitu šifrovania replikačného toku „</w:t>
            </w:r>
            <w:proofErr w:type="spellStart"/>
            <w:r w:rsidRPr="00F873B9">
              <w:rPr>
                <w:rFonts w:eastAsia="Calibri"/>
                <w:szCs w:val="24"/>
              </w:rPr>
              <w:t>data</w:t>
            </w:r>
            <w:proofErr w:type="spellEnd"/>
            <w:r w:rsidRPr="00F873B9">
              <w:rPr>
                <w:rFonts w:eastAsia="Calibri"/>
                <w:szCs w:val="24"/>
              </w:rPr>
              <w:t>-in-</w:t>
            </w:r>
            <w:proofErr w:type="spellStart"/>
            <w:r w:rsidRPr="00F873B9">
              <w:rPr>
                <w:rFonts w:eastAsia="Calibri"/>
                <w:szCs w:val="24"/>
              </w:rPr>
              <w:t>flight</w:t>
            </w:r>
            <w:proofErr w:type="spellEnd"/>
            <w:r w:rsidRPr="00F873B9">
              <w:rPr>
                <w:rFonts w:eastAsia="Calibri"/>
                <w:szCs w:val="24"/>
              </w:rPr>
              <w:t>“</w:t>
            </w:r>
          </w:p>
        </w:tc>
      </w:tr>
    </w:tbl>
    <w:p w:rsidR="00C33819" w:rsidRDefault="00C33819" w:rsidP="00C33819"/>
    <w:p w:rsidR="00C33819" w:rsidRPr="00C33819" w:rsidRDefault="00C33819" w:rsidP="00C33819"/>
    <w:p w:rsidR="00C33819" w:rsidRPr="00C33819" w:rsidRDefault="00C33819" w:rsidP="00C33819">
      <w:pPr>
        <w:rPr>
          <w:b/>
        </w:rPr>
      </w:pPr>
      <w:bookmarkStart w:id="5" w:name="_Toc22638962"/>
      <w:r w:rsidRPr="00C33819">
        <w:rPr>
          <w:b/>
        </w:rPr>
        <w:t>Spoľahlivosť, ochrana a obnova</w:t>
      </w:r>
      <w:bookmarkEnd w:id="5"/>
    </w:p>
    <w:tbl>
      <w:tblPr>
        <w:tblW w:w="983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20" w:firstRow="1" w:lastRow="0" w:firstColumn="0" w:lastColumn="0" w:noHBand="0" w:noVBand="1"/>
      </w:tblPr>
      <w:tblGrid>
        <w:gridCol w:w="9838"/>
      </w:tblGrid>
      <w:tr w:rsidR="00C33819" w:rsidRPr="00F873B9" w:rsidTr="00DD1A24">
        <w:trPr>
          <w:tblHeader/>
        </w:trPr>
        <w:tc>
          <w:tcPr>
            <w:tcW w:w="98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b/>
                <w:bCs/>
                <w:color w:val="FFFFFF"/>
                <w:szCs w:val="24"/>
              </w:rPr>
            </w:pPr>
            <w:r w:rsidRPr="00F873B9">
              <w:rPr>
                <w:rFonts w:eastAsia="Calibri"/>
                <w:b/>
                <w:bCs/>
                <w:color w:val="FFFFFF"/>
                <w:szCs w:val="24"/>
              </w:rPr>
              <w:t>Požadovaný parameter</w:t>
            </w:r>
          </w:p>
        </w:tc>
      </w:tr>
      <w:tr w:rsidR="00C33819" w:rsidRPr="00F873B9" w:rsidTr="00DD1A24">
        <w:tc>
          <w:tcPr>
            <w:tcW w:w="9838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zariadenie musí disponovať interným algoritmom pre neustálou kontrolu zdravia uložených dát a</w:t>
            </w:r>
            <w:r>
              <w:rPr>
                <w:rFonts w:eastAsia="Calibri"/>
                <w:szCs w:val="24"/>
              </w:rPr>
              <w:t> </w:t>
            </w:r>
            <w:r w:rsidRPr="00F873B9">
              <w:rPr>
                <w:rFonts w:eastAsia="Calibri"/>
                <w:szCs w:val="24"/>
              </w:rPr>
              <w:t>v</w:t>
            </w:r>
            <w:r>
              <w:rPr>
                <w:rFonts w:eastAsia="Calibri"/>
                <w:szCs w:val="24"/>
              </w:rPr>
              <w:t> </w:t>
            </w:r>
            <w:r w:rsidRPr="00F873B9">
              <w:rPr>
                <w:rFonts w:eastAsia="Calibri"/>
                <w:szCs w:val="24"/>
              </w:rPr>
              <w:t>prípade poškodenia, ich automatickú obnovu tak, aby bolo možné zálohy kedykoľvek obnoviť k</w:t>
            </w:r>
            <w:r>
              <w:rPr>
                <w:rFonts w:eastAsia="Calibri"/>
                <w:szCs w:val="24"/>
              </w:rPr>
              <w:t> </w:t>
            </w:r>
            <w:r w:rsidRPr="00F873B9">
              <w:rPr>
                <w:rFonts w:eastAsia="Calibri"/>
                <w:szCs w:val="24"/>
              </w:rPr>
              <w:t>akémukoľvek okamihu</w:t>
            </w:r>
          </w:p>
        </w:tc>
      </w:tr>
      <w:tr w:rsidR="00C33819" w:rsidRPr="00F873B9" w:rsidTr="00DD1A24">
        <w:tc>
          <w:tcPr>
            <w:tcW w:w="9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algoritmus pre odstraňovanie vypršaných záloh nesmie obmedziť funkcie zálohovania alebo obnovy (nie je povolené tzv. „</w:t>
            </w:r>
            <w:proofErr w:type="spellStart"/>
            <w:r w:rsidRPr="00F873B9">
              <w:rPr>
                <w:rFonts w:eastAsia="Calibri"/>
                <w:szCs w:val="24"/>
              </w:rPr>
              <w:t>black-out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</w:t>
            </w:r>
            <w:proofErr w:type="spellStart"/>
            <w:r w:rsidRPr="00F873B9">
              <w:rPr>
                <w:rFonts w:eastAsia="Calibri"/>
                <w:szCs w:val="24"/>
              </w:rPr>
              <w:t>window</w:t>
            </w:r>
            <w:proofErr w:type="spellEnd"/>
            <w:r w:rsidRPr="00F873B9">
              <w:rPr>
                <w:rFonts w:eastAsia="Calibri"/>
                <w:szCs w:val="24"/>
              </w:rPr>
              <w:t>“)</w:t>
            </w:r>
          </w:p>
        </w:tc>
      </w:tr>
      <w:tr w:rsidR="00C33819" w:rsidRPr="00F873B9" w:rsidTr="00DD1A24">
        <w:tc>
          <w:tcPr>
            <w:tcW w:w="9838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zariadenie musí obnovovať dáta vždy z </w:t>
            </w:r>
            <w:proofErr w:type="spellStart"/>
            <w:r w:rsidRPr="00F873B9">
              <w:rPr>
                <w:rFonts w:eastAsia="Calibri"/>
                <w:szCs w:val="24"/>
              </w:rPr>
              <w:t>deduplikovaného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a komprimovaného stavu, nie je prípustný </w:t>
            </w:r>
            <w:proofErr w:type="spellStart"/>
            <w:r w:rsidRPr="00F873B9">
              <w:rPr>
                <w:rFonts w:eastAsia="Calibri"/>
                <w:szCs w:val="24"/>
              </w:rPr>
              <w:t>medzikrok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(napr. externá disková cache)</w:t>
            </w:r>
          </w:p>
        </w:tc>
      </w:tr>
      <w:tr w:rsidR="00C33819" w:rsidRPr="00F873B9" w:rsidTr="00DD1A24">
        <w:tc>
          <w:tcPr>
            <w:tcW w:w="9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zariadenie musí disponovať funkcionalitou pre šifrovanie ukladaných dát metódou „dáta-at-rest“</w:t>
            </w:r>
          </w:p>
        </w:tc>
      </w:tr>
      <w:tr w:rsidR="00C33819" w:rsidRPr="00F873B9" w:rsidTr="00DD1A24">
        <w:tc>
          <w:tcPr>
            <w:tcW w:w="9838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zariadenie musí umožniť </w:t>
            </w:r>
            <w:proofErr w:type="spellStart"/>
            <w:r w:rsidRPr="00F873B9">
              <w:rPr>
                <w:rFonts w:eastAsia="Calibri"/>
                <w:szCs w:val="24"/>
              </w:rPr>
              <w:t>shreding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zmazaných dát – teda viacnásobný prepis zmazaných blokov</w:t>
            </w:r>
          </w:p>
        </w:tc>
      </w:tr>
      <w:tr w:rsidR="00C33819" w:rsidRPr="00F873B9" w:rsidTr="00DD1A24">
        <w:tc>
          <w:tcPr>
            <w:tcW w:w="9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zariadenie musí obsahovať </w:t>
            </w:r>
            <w:proofErr w:type="spellStart"/>
            <w:r w:rsidRPr="00F873B9">
              <w:rPr>
                <w:rFonts w:eastAsia="Calibri"/>
                <w:szCs w:val="24"/>
              </w:rPr>
              <w:t>HotSpare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disky</w:t>
            </w:r>
          </w:p>
        </w:tc>
      </w:tr>
      <w:tr w:rsidR="00C33819" w:rsidRPr="00F873B9" w:rsidTr="00DD1A24">
        <w:tc>
          <w:tcPr>
            <w:tcW w:w="9838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lastRenderedPageBreak/>
              <w:t>zariadenie musí obsahovať kompletnú verifikáciu dát – okamžitá verifikácia záloh a kontrola integrity práve ukladaných dát</w:t>
            </w:r>
          </w:p>
        </w:tc>
      </w:tr>
    </w:tbl>
    <w:p w:rsidR="00C33819" w:rsidRDefault="00C33819" w:rsidP="00C33819"/>
    <w:p w:rsidR="00C33819" w:rsidRPr="00C33819" w:rsidRDefault="00C33819" w:rsidP="00C33819"/>
    <w:p w:rsidR="00C33819" w:rsidRPr="00C33819" w:rsidRDefault="00C33819" w:rsidP="00C33819">
      <w:pPr>
        <w:rPr>
          <w:b/>
        </w:rPr>
      </w:pPr>
      <w:bookmarkStart w:id="6" w:name="_Toc22638963"/>
      <w:r w:rsidRPr="00C33819">
        <w:rPr>
          <w:b/>
        </w:rPr>
        <w:t>Správa (management)</w:t>
      </w:r>
      <w:bookmarkEnd w:id="6"/>
    </w:p>
    <w:tbl>
      <w:tblPr>
        <w:tblW w:w="983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20" w:firstRow="1" w:lastRow="0" w:firstColumn="0" w:lastColumn="0" w:noHBand="0" w:noVBand="1"/>
      </w:tblPr>
      <w:tblGrid>
        <w:gridCol w:w="9838"/>
      </w:tblGrid>
      <w:tr w:rsidR="00C33819" w:rsidRPr="00F873B9" w:rsidTr="00DD1A24">
        <w:trPr>
          <w:tblHeader/>
        </w:trPr>
        <w:tc>
          <w:tcPr>
            <w:tcW w:w="98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b/>
                <w:bCs/>
                <w:color w:val="FFFFFF"/>
                <w:szCs w:val="24"/>
              </w:rPr>
            </w:pPr>
            <w:r w:rsidRPr="00F873B9">
              <w:rPr>
                <w:rFonts w:eastAsia="Calibri"/>
                <w:b/>
                <w:bCs/>
                <w:color w:val="FFFFFF"/>
                <w:szCs w:val="24"/>
              </w:rPr>
              <w:t>Požadovaný parameter</w:t>
            </w:r>
          </w:p>
        </w:tc>
      </w:tr>
      <w:tr w:rsidR="00C33819" w:rsidRPr="00F873B9" w:rsidTr="00DD1A24">
        <w:tc>
          <w:tcPr>
            <w:tcW w:w="9838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diskové úložisko musí umožniť správu prostredníctvom webového rozhrania</w:t>
            </w:r>
          </w:p>
        </w:tc>
      </w:tr>
      <w:tr w:rsidR="00C33819" w:rsidRPr="00F873B9" w:rsidTr="00DD1A24">
        <w:tc>
          <w:tcPr>
            <w:tcW w:w="9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diskové úložisko musí poskytovať funkcionalitu automatického </w:t>
            </w:r>
            <w:proofErr w:type="spellStart"/>
            <w:r w:rsidRPr="00F873B9">
              <w:rPr>
                <w:rFonts w:eastAsia="Calibri"/>
                <w:szCs w:val="24"/>
              </w:rPr>
              <w:t>reportingu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a automatický „</w:t>
            </w:r>
            <w:proofErr w:type="spellStart"/>
            <w:r w:rsidRPr="00F873B9">
              <w:rPr>
                <w:rFonts w:eastAsia="Calibri"/>
                <w:szCs w:val="24"/>
              </w:rPr>
              <w:t>call-home</w:t>
            </w:r>
            <w:proofErr w:type="spellEnd"/>
            <w:r w:rsidRPr="00F873B9">
              <w:rPr>
                <w:rFonts w:eastAsia="Calibri"/>
                <w:szCs w:val="24"/>
              </w:rPr>
              <w:t>“</w:t>
            </w:r>
          </w:p>
        </w:tc>
      </w:tr>
      <w:tr w:rsidR="00C33819" w:rsidRPr="00F873B9" w:rsidTr="00DD1A24">
        <w:tc>
          <w:tcPr>
            <w:tcW w:w="9838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diskové úložisko musí umožniť správu na princípe rolí s rôznymi typmi oprávnení</w:t>
            </w:r>
          </w:p>
        </w:tc>
      </w:tr>
      <w:tr w:rsidR="00C33819" w:rsidRPr="00F873B9" w:rsidTr="00DD1A24">
        <w:tc>
          <w:tcPr>
            <w:tcW w:w="9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zariadenie musí byť plne kompatibilné s existujúcim zálohovacím systémom zadávateľa</w:t>
            </w:r>
          </w:p>
        </w:tc>
      </w:tr>
    </w:tbl>
    <w:p w:rsidR="00C33819" w:rsidRDefault="00C33819" w:rsidP="00C33819"/>
    <w:p w:rsidR="00C33819" w:rsidRPr="00C33819" w:rsidRDefault="00C33819" w:rsidP="00C33819"/>
    <w:p w:rsidR="00C33819" w:rsidRPr="00C33819" w:rsidRDefault="00C33819" w:rsidP="00C33819">
      <w:pPr>
        <w:rPr>
          <w:b/>
        </w:rPr>
      </w:pPr>
      <w:bookmarkStart w:id="7" w:name="_Toc22638964"/>
      <w:r w:rsidRPr="00C33819">
        <w:rPr>
          <w:b/>
        </w:rPr>
        <w:t>Technická podpora</w:t>
      </w:r>
      <w:bookmarkEnd w:id="7"/>
    </w:p>
    <w:tbl>
      <w:tblPr>
        <w:tblW w:w="983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20" w:firstRow="1" w:lastRow="0" w:firstColumn="0" w:lastColumn="0" w:noHBand="0" w:noVBand="1"/>
      </w:tblPr>
      <w:tblGrid>
        <w:gridCol w:w="9838"/>
      </w:tblGrid>
      <w:tr w:rsidR="00C33819" w:rsidRPr="00F873B9" w:rsidTr="00DD1A24">
        <w:trPr>
          <w:tblHeader/>
        </w:trPr>
        <w:tc>
          <w:tcPr>
            <w:tcW w:w="98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b/>
                <w:bCs/>
                <w:color w:val="FFFFFF"/>
                <w:szCs w:val="24"/>
              </w:rPr>
            </w:pPr>
            <w:r w:rsidRPr="00F873B9">
              <w:rPr>
                <w:rFonts w:eastAsia="Calibri"/>
                <w:b/>
                <w:bCs/>
                <w:color w:val="FFFFFF"/>
                <w:szCs w:val="24"/>
              </w:rPr>
              <w:t>Požadovaný parameter</w:t>
            </w:r>
          </w:p>
        </w:tc>
      </w:tr>
      <w:tr w:rsidR="00C33819" w:rsidRPr="00F873B9" w:rsidTr="00DD1A24">
        <w:tc>
          <w:tcPr>
            <w:tcW w:w="9838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Záruka na HW a SW </w:t>
            </w:r>
            <w:r w:rsidRPr="00F873B9">
              <w:rPr>
                <w:rFonts w:eastAsia="Calibri"/>
                <w:b/>
                <w:bCs/>
                <w:szCs w:val="24"/>
              </w:rPr>
              <w:t>3 roky</w:t>
            </w:r>
          </w:p>
        </w:tc>
      </w:tr>
      <w:tr w:rsidR="00C33819" w:rsidRPr="00F873B9" w:rsidTr="00DD1A24">
        <w:tc>
          <w:tcPr>
            <w:tcW w:w="98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 xml:space="preserve">Podpora a </w:t>
            </w:r>
            <w:proofErr w:type="spellStart"/>
            <w:r w:rsidRPr="00F873B9">
              <w:rPr>
                <w:rFonts w:eastAsia="Calibri"/>
                <w:szCs w:val="24"/>
              </w:rPr>
              <w:t>maintenance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riešenia </w:t>
            </w:r>
            <w:r w:rsidRPr="00F873B9">
              <w:rPr>
                <w:rFonts w:eastAsia="Calibri"/>
                <w:b/>
                <w:bCs/>
                <w:szCs w:val="24"/>
              </w:rPr>
              <w:t>3 roky</w:t>
            </w:r>
          </w:p>
        </w:tc>
      </w:tr>
      <w:tr w:rsidR="00C33819" w:rsidRPr="00F873B9" w:rsidTr="00DD1A24">
        <w:tc>
          <w:tcPr>
            <w:tcW w:w="9838" w:type="dxa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F873B9" w:rsidRDefault="00C33819" w:rsidP="00C33819">
            <w:pPr>
              <w:jc w:val="both"/>
              <w:rPr>
                <w:rFonts w:eastAsia="Calibri"/>
                <w:szCs w:val="24"/>
              </w:rPr>
            </w:pPr>
            <w:r w:rsidRPr="00F873B9">
              <w:rPr>
                <w:rFonts w:eastAsia="Calibri"/>
                <w:szCs w:val="24"/>
              </w:rPr>
              <w:t>Úroveň podpory 5x8 s reakciou „</w:t>
            </w:r>
            <w:proofErr w:type="spellStart"/>
            <w:r w:rsidRPr="00F873B9">
              <w:rPr>
                <w:rFonts w:eastAsia="Calibri"/>
                <w:szCs w:val="24"/>
              </w:rPr>
              <w:t>Next</w:t>
            </w:r>
            <w:proofErr w:type="spellEnd"/>
            <w:r w:rsidRPr="00F873B9">
              <w:rPr>
                <w:rFonts w:eastAsia="Calibri"/>
                <w:szCs w:val="24"/>
              </w:rPr>
              <w:t xml:space="preserve"> Business </w:t>
            </w:r>
            <w:proofErr w:type="spellStart"/>
            <w:r w:rsidRPr="00F873B9">
              <w:rPr>
                <w:rFonts w:eastAsia="Calibri"/>
                <w:szCs w:val="24"/>
              </w:rPr>
              <w:t>Day</w:t>
            </w:r>
            <w:proofErr w:type="spellEnd"/>
            <w:r w:rsidRPr="00F873B9">
              <w:rPr>
                <w:rFonts w:eastAsia="Calibri"/>
                <w:szCs w:val="24"/>
              </w:rPr>
              <w:t>“ minimálne od nahlásenia incidentu stupňa „kritický“ – teda chyba, ktorá znemožňuje chod systému a má dopad na fungovanie IT</w:t>
            </w:r>
          </w:p>
        </w:tc>
      </w:tr>
    </w:tbl>
    <w:p w:rsidR="00C33819" w:rsidRPr="009C3F3B" w:rsidRDefault="00C33819" w:rsidP="00C33819">
      <w:pPr>
        <w:jc w:val="both"/>
        <w:rPr>
          <w:bCs/>
          <w:szCs w:val="24"/>
        </w:rPr>
      </w:pPr>
    </w:p>
    <w:p w:rsidR="00C33819" w:rsidRPr="009C3F3B" w:rsidRDefault="00C33819" w:rsidP="00C33819">
      <w:pPr>
        <w:jc w:val="both"/>
        <w:rPr>
          <w:bCs/>
          <w:szCs w:val="24"/>
        </w:rPr>
      </w:pPr>
    </w:p>
    <w:p w:rsidR="00C33819" w:rsidRPr="00C33819" w:rsidRDefault="00C33819" w:rsidP="00C33819">
      <w:pPr>
        <w:pStyle w:val="Default"/>
        <w:jc w:val="both"/>
        <w:rPr>
          <w:rFonts w:ascii="Times New Roman" w:hAnsi="Times New Roman" w:cs="Times New Roman"/>
          <w:lang w:val="sk-SK"/>
        </w:rPr>
      </w:pPr>
      <w:r w:rsidRPr="00C33819">
        <w:rPr>
          <w:rFonts w:ascii="Times New Roman" w:hAnsi="Times New Roman" w:cs="Times New Roman"/>
          <w:b/>
          <w:bCs/>
          <w:lang w:val="sk-SK"/>
        </w:rPr>
        <w:t xml:space="preserve">Inštalačné a konfiguračné práce </w:t>
      </w:r>
    </w:p>
    <w:tbl>
      <w:tblPr>
        <w:tblW w:w="9918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20" w:firstRow="1" w:lastRow="0" w:firstColumn="0" w:lastColumn="0" w:noHBand="0" w:noVBand="1"/>
      </w:tblPr>
      <w:tblGrid>
        <w:gridCol w:w="6232"/>
        <w:gridCol w:w="3686"/>
      </w:tblGrid>
      <w:tr w:rsidR="00C33819" w:rsidRPr="00C33819" w:rsidTr="009C3F3B">
        <w:trPr>
          <w:tblHeader/>
        </w:trPr>
        <w:tc>
          <w:tcPr>
            <w:tcW w:w="623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C33819" w:rsidRDefault="00C33819" w:rsidP="00C33819">
            <w:pPr>
              <w:jc w:val="both"/>
              <w:rPr>
                <w:rFonts w:eastAsia="Calibri"/>
                <w:b/>
                <w:bCs/>
                <w:color w:val="FFFFFF"/>
                <w:szCs w:val="24"/>
              </w:rPr>
            </w:pPr>
            <w:r w:rsidRPr="00C33819">
              <w:rPr>
                <w:rFonts w:eastAsia="Calibri"/>
                <w:b/>
                <w:bCs/>
                <w:color w:val="FFFFFF"/>
                <w:szCs w:val="24"/>
              </w:rPr>
              <w:t>Požadovaný parameter</w:t>
            </w:r>
          </w:p>
        </w:tc>
        <w:tc>
          <w:tcPr>
            <w:tcW w:w="368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3819" w:rsidRPr="00C33819" w:rsidRDefault="00C33819" w:rsidP="00C33819">
            <w:pPr>
              <w:jc w:val="both"/>
              <w:rPr>
                <w:rFonts w:eastAsia="Calibri"/>
                <w:b/>
                <w:bCs/>
                <w:color w:val="FFFFFF"/>
                <w:szCs w:val="24"/>
              </w:rPr>
            </w:pPr>
          </w:p>
        </w:tc>
      </w:tr>
      <w:tr w:rsidR="009C3F3B" w:rsidRPr="00C33819" w:rsidTr="009C3F3B">
        <w:trPr>
          <w:trHeight w:val="346"/>
        </w:trPr>
        <w:tc>
          <w:tcPr>
            <w:tcW w:w="9918" w:type="dxa"/>
            <w:gridSpan w:val="2"/>
            <w:shd w:val="clear" w:color="auto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3F3B" w:rsidRPr="009C3F3B" w:rsidRDefault="009C3F3B" w:rsidP="009C3F3B">
            <w:pPr>
              <w:pStyle w:val="Default"/>
              <w:jc w:val="both"/>
              <w:rPr>
                <w:rFonts w:ascii="Times New Roman" w:hAnsi="Times New Roman" w:cs="Times New Roman"/>
                <w:lang w:val="sk-SK"/>
              </w:rPr>
            </w:pPr>
            <w:r w:rsidRPr="00C33819">
              <w:rPr>
                <w:rFonts w:ascii="Times New Roman" w:hAnsi="Times New Roman" w:cs="Times New Roman"/>
                <w:lang w:val="sk-SK"/>
              </w:rPr>
              <w:t xml:space="preserve">Inštalácia, konfigurácia, pripojenie do infraštruktúry, backup plán , zaškolenie, dokumentácia </w:t>
            </w:r>
          </w:p>
        </w:tc>
      </w:tr>
    </w:tbl>
    <w:p w:rsidR="00F666F5" w:rsidRPr="00C33819" w:rsidRDefault="00F666F5" w:rsidP="00C33819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  <w:lang w:val="sk-SK"/>
        </w:rPr>
      </w:pPr>
    </w:p>
    <w:sectPr w:rsidR="00F666F5" w:rsidRPr="00C33819" w:rsidSect="00F80D80">
      <w:headerReference w:type="default" r:id="rId7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894" w:rsidRDefault="006C4894" w:rsidP="00F80D80">
      <w:r>
        <w:separator/>
      </w:r>
    </w:p>
  </w:endnote>
  <w:endnote w:type="continuationSeparator" w:id="0">
    <w:p w:rsidR="006C4894" w:rsidRDefault="006C4894" w:rsidP="00F8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894" w:rsidRDefault="006C4894" w:rsidP="00F80D80">
      <w:r>
        <w:separator/>
      </w:r>
    </w:p>
  </w:footnote>
  <w:footnote w:type="continuationSeparator" w:id="0">
    <w:p w:rsidR="006C4894" w:rsidRDefault="006C4894" w:rsidP="00F8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D80" w:rsidRPr="00DF7835" w:rsidRDefault="00C33819" w:rsidP="00C33819">
    <w:pPr>
      <w:pStyle w:val="Hlavika"/>
      <w:jc w:val="both"/>
      <w:rPr>
        <w:sz w:val="22"/>
      </w:rPr>
    </w:pPr>
    <w:r w:rsidRPr="00DF7835">
      <w:rPr>
        <w:sz w:val="22"/>
      </w:rPr>
      <w:t>Príloha č. 1 výzvy č. 5 - „</w:t>
    </w:r>
    <w:r w:rsidRPr="00DF7835">
      <w:rPr>
        <w:sz w:val="22"/>
        <w:lang w:eastAsia="en-US"/>
      </w:rPr>
      <w:t xml:space="preserve">Zálohovací systém pre </w:t>
    </w:r>
    <w:proofErr w:type="spellStart"/>
    <w:r w:rsidRPr="00DF7835">
      <w:rPr>
        <w:sz w:val="22"/>
        <w:lang w:eastAsia="en-US"/>
      </w:rPr>
      <w:t>servre</w:t>
    </w:r>
    <w:proofErr w:type="spellEnd"/>
    <w:r w:rsidRPr="00DF7835">
      <w:rPr>
        <w:sz w:val="22"/>
        <w:lang w:eastAsia="en-US"/>
      </w:rPr>
      <w:t xml:space="preserve"> magistrátu v dátovom centre</w:t>
    </w:r>
    <w:r w:rsidRPr="00DF7835">
      <w:rPr>
        <w:sz w:val="22"/>
      </w:rPr>
      <w:t xml:space="preserve">“ </w:t>
    </w:r>
    <w:r w:rsidRPr="00DF7835">
      <w:rPr>
        <w:sz w:val="22"/>
      </w:rPr>
      <w:br/>
      <w:t>v rámci zriadeného DNS „IT HW a podpora“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80"/>
    <w:rsid w:val="002D64D6"/>
    <w:rsid w:val="003718F4"/>
    <w:rsid w:val="003B6B24"/>
    <w:rsid w:val="004C6D8E"/>
    <w:rsid w:val="004F7212"/>
    <w:rsid w:val="00533346"/>
    <w:rsid w:val="00576740"/>
    <w:rsid w:val="00603F2E"/>
    <w:rsid w:val="006C4894"/>
    <w:rsid w:val="00765FEB"/>
    <w:rsid w:val="009C3F3B"/>
    <w:rsid w:val="009E15FD"/>
    <w:rsid w:val="00B11064"/>
    <w:rsid w:val="00C33819"/>
    <w:rsid w:val="00CF2CAE"/>
    <w:rsid w:val="00D75657"/>
    <w:rsid w:val="00DF7835"/>
    <w:rsid w:val="00EF1918"/>
    <w:rsid w:val="00F666F5"/>
    <w:rsid w:val="00F80D80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558DE-40D6-4BA6-B9A7-A186CF32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80D80"/>
    <w:rPr>
      <w:rFonts w:eastAsia="Times New Roman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B6B24"/>
    <w:pPr>
      <w:keepNext/>
      <w:ind w:hanging="357"/>
      <w:jc w:val="both"/>
      <w:outlineLvl w:val="1"/>
    </w:pPr>
    <w:rPr>
      <w:lang w:val="x-none" w:eastAsia="x-none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left" w:pos="964"/>
      </w:tabs>
      <w:spacing w:before="36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link w:val="Nadpis2"/>
    <w:uiPriority w:val="9"/>
    <w:rsid w:val="003B6B24"/>
    <w:rPr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B6B24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b/>
      <w:sz w:val="32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</w:pPr>
    <w:rPr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</w:pPr>
  </w:style>
  <w:style w:type="paragraph" w:styleId="Textkomentra">
    <w:name w:val="annotation text"/>
    <w:basedOn w:val="Normlny"/>
    <w:link w:val="TextkomentraChar"/>
    <w:uiPriority w:val="99"/>
    <w:semiHidden/>
    <w:rsid w:val="002D64D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ind w:left="720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Pudiš Ivan, Mgr</cp:lastModifiedBy>
  <cp:revision>6</cp:revision>
  <dcterms:created xsi:type="dcterms:W3CDTF">2019-10-21T14:45:00Z</dcterms:created>
  <dcterms:modified xsi:type="dcterms:W3CDTF">2019-12-02T16:22:00Z</dcterms:modified>
</cp:coreProperties>
</file>