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4F89D07"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2333770"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317C4C">
        <w:rPr>
          <w:rFonts w:ascii="Tahoma" w:hAnsi="Tahoma" w:cs="Tahoma"/>
          <w:sz w:val="20"/>
          <w:szCs w:val="20"/>
        </w:rPr>
        <w:t>Brezno</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B0A7504"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w:t>
      </w:r>
      <w:r w:rsidR="00317C4C">
        <w:rPr>
          <w:rFonts w:ascii="Tahoma" w:hAnsi="Tahoma" w:cs="Tahoma"/>
          <w:b/>
          <w:sz w:val="20"/>
          <w:szCs w:val="20"/>
        </w:rPr>
        <w:t>R</w:t>
      </w:r>
      <w:r w:rsidR="00177CE6">
        <w:rPr>
          <w:rFonts w:ascii="Tahoma" w:hAnsi="Tahoma" w:cs="Tahoma"/>
          <w:b/>
          <w:sz w:val="20"/>
          <w:szCs w:val="20"/>
        </w:rPr>
        <w:t xml:space="preserve"> </w:t>
      </w:r>
      <w:r w:rsidR="00204114" w:rsidRPr="00204114">
        <w:rPr>
          <w:rFonts w:ascii="Tahoma" w:hAnsi="Tahoma" w:cs="Tahoma"/>
          <w:b/>
          <w:sz w:val="20"/>
          <w:szCs w:val="20"/>
        </w:rPr>
        <w:t xml:space="preserve">č. </w:t>
      </w:r>
      <w:proofErr w:type="spellStart"/>
      <w:r w:rsidR="000563D1" w:rsidRPr="000563D1">
        <w:rPr>
          <w:rFonts w:ascii="Tahoma" w:hAnsi="Tahoma" w:cs="Tahoma"/>
          <w:b/>
          <w:sz w:val="20"/>
          <w:szCs w:val="20"/>
          <w:highlight w:val="yellow"/>
        </w:rPr>
        <w:t>xx</w:t>
      </w:r>
      <w:r w:rsidR="00D027DB">
        <w:rPr>
          <w:rFonts w:ascii="Tahoma" w:hAnsi="Tahoma" w:cs="Tahoma"/>
          <w:b/>
          <w:sz w:val="20"/>
          <w:szCs w:val="20"/>
        </w:rPr>
        <w:t>.</w:t>
      </w:r>
      <w:proofErr w:type="spellEnd"/>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6569050C" w:rsidR="003A330F" w:rsidRPr="00CA564F" w:rsidRDefault="00B52A98" w:rsidP="006F0BA8">
      <w:pPr>
        <w:ind w:left="709"/>
        <w:jc w:val="both"/>
        <w:rPr>
          <w:rFonts w:ascii="Tahoma" w:hAnsi="Tahoma" w:cs="Tahoma"/>
          <w:b/>
          <w:sz w:val="20"/>
          <w:szCs w:val="20"/>
          <w:u w:val="single"/>
        </w:rPr>
      </w:pPr>
      <w:r>
        <w:rPr>
          <w:rFonts w:ascii="Tahoma" w:hAnsi="Tahoma" w:cs="Tahoma"/>
          <w:b/>
          <w:sz w:val="20"/>
          <w:szCs w:val="20"/>
          <w:u w:val="single"/>
        </w:rPr>
        <w:t xml:space="preserve">Ovocie a zelenina </w:t>
      </w:r>
      <w:r w:rsidR="0065733F" w:rsidRPr="00CA564F">
        <w:rPr>
          <w:rFonts w:ascii="Tahoma" w:hAnsi="Tahoma" w:cs="Tahoma"/>
          <w:b/>
          <w:sz w:val="20"/>
          <w:szCs w:val="20"/>
          <w:u w:val="single"/>
        </w:rPr>
        <w:t xml:space="preserve">– </w:t>
      </w:r>
      <w:r w:rsidR="00D6593E">
        <w:rPr>
          <w:rFonts w:ascii="Tahoma" w:hAnsi="Tahoma" w:cs="Tahoma"/>
          <w:b/>
          <w:sz w:val="20"/>
          <w:szCs w:val="20"/>
          <w:u w:val="single"/>
        </w:rPr>
        <w:t>maximálne 5</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469C" w14:textId="77777777" w:rsidR="00C25666" w:rsidRDefault="00C25666" w:rsidP="00D044A0">
      <w:r>
        <w:separator/>
      </w:r>
    </w:p>
  </w:endnote>
  <w:endnote w:type="continuationSeparator" w:id="0">
    <w:p w14:paraId="12340F62" w14:textId="77777777" w:rsidR="00C25666" w:rsidRDefault="00C2566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C307" w14:textId="77777777" w:rsidR="00C25666" w:rsidRDefault="00C25666" w:rsidP="00D044A0">
      <w:r>
        <w:separator/>
      </w:r>
    </w:p>
  </w:footnote>
  <w:footnote w:type="continuationSeparator" w:id="0">
    <w:p w14:paraId="0C7B0F52" w14:textId="77777777" w:rsidR="00C25666" w:rsidRDefault="00C2566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6CD08EA" w:rsidR="00DB050A" w:rsidRDefault="00F51E2D">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w:t>
    </w:r>
    <w:r w:rsidR="00317C4C">
      <w:rPr>
        <w:rFonts w:ascii="Tahoma" w:hAnsi="Tahoma" w:cs="Tahoma"/>
      </w:rPr>
      <w:t>Brezno</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17C4C"/>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amcova dohoda_10" edit="true"/>
    <f:field ref="objsubject" par="" text="" edit="true"/>
    <f:field ref="objcreatedby" par="" text="Molnárová, Denisa, Mgr."/>
    <f:field ref="objcreatedat" par="" date="2024-05-06T10:12:36" text="6. 5. 2024 10:12:36"/>
    <f:field ref="objchangedby" par="" text="Mesiariková, Ivana, JUDr."/>
    <f:field ref="objmodifiedat" par="" date="2024-05-07T10:22:22" text="7. 5. 2024 10:22:22"/>
    <f:field ref="doc_FSCFOLIO_1_1001_FieldDocumentNumber" par="" text=""/>
    <f:field ref="doc_FSCFOLIO_1_1001_FieldSubject" par="" text="" edit="true"/>
    <f:field ref="FSCFOLIO_1_1001_FieldCurrentUser" par="" text="Mgr. Lenka Kyselová"/>
    <f:field ref="CCAPRECONFIG_15_1001_Objektname" par="" text="Ramcova dohoda_10"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9157</Words>
  <Characters>52199</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2024-06-14T12:45:00Z</dcterms:created>
  <dcterms:modified xsi:type="dcterms:W3CDTF">2024-06-14T12:45:00Z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6. 5. 2024, 10:12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6. 5. 2024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6.5.2024, 10:12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364/2024 - Rámcová kúpna zmluva - predbežná - ovocie a zelenina - okresy BB, BR, BŠ, DT, KA, ZC, ZH a ZV</vt:lpwstr>
  </property>
  <property fmtid="{D5CDD505-2E9C-101B-9397-08002B2CF9AE}" pid="327" name="FSC#COOELAK@1.1001:FileReference">
    <vt:lpwstr>10142-2024</vt:lpwstr>
  </property>
  <property fmtid="{D5CDD505-2E9C-101B-9397-08002B2CF9AE}" pid="328" name="FSC#COOELAK@1.1001:FileRefYear">
    <vt:lpwstr>2024</vt:lpwstr>
  </property>
  <property fmtid="{D5CDD505-2E9C-101B-9397-08002B2CF9AE}" pid="329" name="FSC#COOELAK@1.1001:FileRefOrdinal">
    <vt:lpwstr>10142</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06.05.2024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*COO.2090.100.9.7481205*</vt:lpwstr>
  </property>
  <property fmtid="{D5CDD505-2E9C-101B-9397-08002B2CF9AE}" pid="344" name="FSC#COOELAK@1.1001:RefBarCode">
    <vt:lpwstr>*COO.2090.100.9.7481167*</vt:lpwstr>
  </property>
  <property fmtid="{D5CDD505-2E9C-101B-9397-08002B2CF9AE}" pid="345" name="FSC#COOELAK@1.1001:FileRefBarCode">
    <vt:lpwstr>*10142-2024*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06.05.2024</vt:lpwstr>
  </property>
  <property fmtid="{D5CDD505-2E9C-101B-9397-08002B2CF9AE}" pid="372" name="FSC#ATSTATECFG@1.1001:SubfileSubject">
    <vt:lpwstr>ZFK - 364/2024 - predbežná pred VO - Rámcová kúpna zmluva - ovocie a zelenina, okresy BBˇ, BR, BŠ, DT, KA, ZC, ZH 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10142-2024-1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COO.2090.100.9.7481205</vt:lpwstr>
  </property>
  <property fmtid="{D5CDD505-2E9C-101B-9397-08002B2CF9AE}" pid="392" name="FSC#FSCFOLIO@1.1001:docpropproject">
    <vt:lpwstr/>
  </property>
  <property fmtid="{D5CDD505-2E9C-101B-9397-08002B2CF9AE}" pid="393" name="FSC#COOELAK@1.1001:replyreference">
    <vt:lpwstr/>
  </property>
</Properties>
</file>