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B1FE7" w14:textId="77777777" w:rsidR="00777EEE" w:rsidRPr="006703A7" w:rsidRDefault="00777EEE" w:rsidP="00F601B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703A7">
        <w:rPr>
          <w:rFonts w:ascii="Arial" w:hAnsi="Arial" w:cs="Arial"/>
          <w:b/>
          <w:sz w:val="30"/>
          <w:szCs w:val="30"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uzavretá podľa § 409 a </w:t>
      </w:r>
      <w:proofErr w:type="spellStart"/>
      <w:r w:rsidRPr="00777EEE">
        <w:rPr>
          <w:rFonts w:ascii="Arial" w:hAnsi="Arial" w:cs="Arial"/>
          <w:bCs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bCs/>
          <w:sz w:val="22"/>
          <w:szCs w:val="22"/>
        </w:rPr>
        <w:t>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2F3FA3B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BEF9BE7" w:rsidR="00C142C4" w:rsidRPr="002B643D" w:rsidRDefault="002B643D" w:rsidP="002B64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B643D">
        <w:rPr>
          <w:rFonts w:ascii="Arial" w:hAnsi="Arial" w:cs="Arial"/>
          <w:b/>
          <w:bCs/>
          <w:sz w:val="22"/>
          <w:szCs w:val="22"/>
        </w:rPr>
        <w:t>Zmluvné strany:</w:t>
      </w:r>
    </w:p>
    <w:p w14:paraId="633CB438" w14:textId="77777777" w:rsidR="002B643D" w:rsidRPr="00777EEE" w:rsidRDefault="002B643D" w:rsidP="002B643D">
      <w:pPr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62BC9898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6156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601BD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14:paraId="0FEBE9EF" w14:textId="7836F0CF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</w:p>
    <w:p w14:paraId="687A2DB8" w14:textId="6EC11D1F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</w:p>
    <w:p w14:paraId="19AFFB42" w14:textId="01872C12" w:rsidR="00DD7DC9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</w:p>
    <w:p w14:paraId="49EA3AE1" w14:textId="39B2611E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A36D6D"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</w:p>
    <w:p w14:paraId="39E1AE11" w14:textId="0B4486AE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961508" w:rsidRPr="00777EEE">
        <w:rPr>
          <w:rFonts w:ascii="Arial" w:hAnsi="Arial" w:cs="Arial"/>
          <w:bCs/>
          <w:sz w:val="22"/>
          <w:szCs w:val="22"/>
        </w:rPr>
        <w:tab/>
      </w:r>
    </w:p>
    <w:p w14:paraId="21DFA456" w14:textId="0168BBF2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B00E09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</w:p>
    <w:p w14:paraId="5C1439A0" w14:textId="77777777" w:rsidR="00777EEE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BB028C6" w14:textId="6763006D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 xml:space="preserve"> </w:t>
      </w:r>
      <w:r w:rsidRPr="00777EEE">
        <w:rPr>
          <w:rFonts w:ascii="Arial" w:hAnsi="Arial" w:cs="Arial"/>
          <w:bCs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</w:p>
    <w:p w14:paraId="5018E9E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66D12E2F" w14:textId="77777777" w:rsidR="00C142C4" w:rsidRPr="00777EEE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4A5D2" w14:textId="777777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6A6778" w14:textId="27ED15E1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b/>
          <w:bCs/>
          <w:sz w:val="22"/>
          <w:szCs w:val="22"/>
        </w:rPr>
        <w:t>Kupujúci:</w:t>
      </w:r>
      <w:r w:rsidRPr="00777EEE">
        <w:rPr>
          <w:rFonts w:ascii="Arial" w:hAnsi="Arial" w:cs="Arial"/>
          <w:sz w:val="22"/>
          <w:szCs w:val="22"/>
        </w:rPr>
        <w:tab/>
      </w:r>
      <w:r w:rsidR="00F601BD">
        <w:rPr>
          <w:rFonts w:ascii="Arial" w:hAnsi="Arial" w:cs="Arial"/>
          <w:b/>
          <w:bCs/>
          <w:sz w:val="22"/>
          <w:szCs w:val="22"/>
        </w:rPr>
        <w:t>BIOPLANT</w:t>
      </w:r>
      <w:r w:rsidR="00B204AE" w:rsidRPr="00B204AE">
        <w:rPr>
          <w:rFonts w:ascii="Arial" w:hAnsi="Arial" w:cs="Arial"/>
          <w:b/>
          <w:bCs/>
          <w:sz w:val="22"/>
          <w:szCs w:val="22"/>
        </w:rPr>
        <w:t>, s.r</w:t>
      </w:r>
      <w:r w:rsidR="002B643D" w:rsidRPr="00B204AE">
        <w:rPr>
          <w:rFonts w:ascii="Arial" w:hAnsi="Arial" w:cs="Arial"/>
          <w:b/>
          <w:bCs/>
          <w:sz w:val="22"/>
          <w:szCs w:val="22"/>
        </w:rPr>
        <w:t>.o.</w:t>
      </w:r>
    </w:p>
    <w:p w14:paraId="2710477A" w14:textId="7C065731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Sídlo :</w:t>
      </w:r>
      <w:r w:rsidR="00B00E09">
        <w:rPr>
          <w:rFonts w:ascii="Arial" w:hAnsi="Arial" w:cs="Arial"/>
          <w:sz w:val="22"/>
          <w:szCs w:val="22"/>
        </w:rPr>
        <w:tab/>
      </w:r>
      <w:r w:rsidR="00F601BD" w:rsidRPr="00F601BD">
        <w:rPr>
          <w:rFonts w:ascii="Arial" w:hAnsi="Arial" w:cs="Arial"/>
          <w:sz w:val="22"/>
          <w:szCs w:val="22"/>
        </w:rPr>
        <w:t>95634 Ostratice 333</w:t>
      </w:r>
    </w:p>
    <w:p w14:paraId="3692E7D7" w14:textId="4B5B668E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Zastúpený</w:t>
      </w:r>
      <w:r w:rsidR="0078300B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proofErr w:type="spellStart"/>
      <w:r w:rsidR="00F601BD">
        <w:rPr>
          <w:rFonts w:ascii="Arial" w:hAnsi="Arial" w:cs="Arial"/>
          <w:sz w:val="22"/>
          <w:szCs w:val="22"/>
        </w:rPr>
        <w:t>MSc</w:t>
      </w:r>
      <w:proofErr w:type="spellEnd"/>
      <w:r w:rsidR="00F601BD">
        <w:rPr>
          <w:rFonts w:ascii="Arial" w:hAnsi="Arial" w:cs="Arial"/>
          <w:sz w:val="22"/>
          <w:szCs w:val="22"/>
        </w:rPr>
        <w:t>. Jozef Žatko, konateľ</w:t>
      </w:r>
    </w:p>
    <w:p w14:paraId="3B907BA2" w14:textId="77777777" w:rsidR="00F601BD" w:rsidRPr="00F601BD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IČO:  </w:t>
      </w:r>
      <w:r w:rsidRPr="00777EEE">
        <w:rPr>
          <w:rFonts w:ascii="Arial" w:hAnsi="Arial" w:cs="Arial"/>
          <w:sz w:val="22"/>
          <w:szCs w:val="22"/>
        </w:rPr>
        <w:tab/>
      </w:r>
      <w:r w:rsidR="00F601BD" w:rsidRPr="00F601BD">
        <w:rPr>
          <w:rFonts w:ascii="Arial" w:hAnsi="Arial" w:cs="Arial"/>
          <w:sz w:val="22"/>
          <w:szCs w:val="22"/>
        </w:rPr>
        <w:t>31419321</w:t>
      </w:r>
    </w:p>
    <w:p w14:paraId="5157A8D4" w14:textId="7A1E2650" w:rsidR="00E11051" w:rsidRPr="00F601BD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78300B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F601BD" w:rsidRPr="00F601BD">
        <w:rPr>
          <w:rFonts w:ascii="Arial" w:hAnsi="Arial" w:cs="Arial"/>
          <w:sz w:val="22"/>
          <w:szCs w:val="22"/>
        </w:rPr>
        <w:t>2020388392</w:t>
      </w:r>
    </w:p>
    <w:p w14:paraId="2AF4A702" w14:textId="300F5510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DPH:</w:t>
      </w:r>
      <w:r w:rsidR="00B00E09">
        <w:rPr>
          <w:rFonts w:ascii="Arial" w:hAnsi="Arial" w:cs="Arial"/>
          <w:sz w:val="22"/>
          <w:szCs w:val="22"/>
        </w:rPr>
        <w:tab/>
      </w:r>
      <w:r w:rsidR="00B204AE">
        <w:rPr>
          <w:rFonts w:ascii="Arial" w:hAnsi="Arial" w:cs="Arial"/>
          <w:sz w:val="22"/>
          <w:szCs w:val="22"/>
        </w:rPr>
        <w:t>SK</w:t>
      </w:r>
      <w:r w:rsidR="00F601BD" w:rsidRPr="00F601BD">
        <w:rPr>
          <w:rFonts w:ascii="Arial" w:hAnsi="Arial" w:cs="Arial"/>
          <w:sz w:val="22"/>
          <w:szCs w:val="22"/>
        </w:rPr>
        <w:t>2020388392</w:t>
      </w:r>
    </w:p>
    <w:p w14:paraId="06B7B0FA" w14:textId="47301369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IBAN: </w:t>
      </w:r>
      <w:r w:rsidRPr="00777EEE">
        <w:rPr>
          <w:rFonts w:ascii="Arial" w:hAnsi="Arial" w:cs="Arial"/>
          <w:sz w:val="22"/>
          <w:szCs w:val="22"/>
        </w:rPr>
        <w:tab/>
      </w:r>
    </w:p>
    <w:p w14:paraId="500D119B" w14:textId="77777777" w:rsidR="00E1105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(ďalej ako 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7882A21F" w14:textId="6D780661" w:rsidR="00C142C4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D5EE88" w14:textId="77777777" w:rsidR="003244D5" w:rsidRPr="00777EEE" w:rsidRDefault="003244D5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26803" w14:textId="0B5F7808" w:rsidR="00C142C4" w:rsidRPr="00F601BD" w:rsidRDefault="00961508" w:rsidP="00391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30049564"/>
      <w:bookmarkEnd w:id="0"/>
      <w:r w:rsidRPr="0039193E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39193E">
        <w:rPr>
          <w:rFonts w:ascii="Arial" w:hAnsi="Arial" w:cs="Arial"/>
          <w:sz w:val="22"/>
          <w:szCs w:val="22"/>
        </w:rPr>
        <w:t>nasl</w:t>
      </w:r>
      <w:proofErr w:type="spellEnd"/>
      <w:r w:rsidRPr="0039193E">
        <w:rPr>
          <w:rFonts w:ascii="Arial" w:hAnsi="Arial" w:cs="Arial"/>
          <w:sz w:val="22"/>
          <w:szCs w:val="22"/>
        </w:rPr>
        <w:t xml:space="preserve">. Obchodného zákonníka </w:t>
      </w:r>
      <w:r w:rsidR="0075097A" w:rsidRPr="0039193E">
        <w:rPr>
          <w:rFonts w:ascii="Arial" w:hAnsi="Arial" w:cs="Arial"/>
          <w:sz w:val="22"/>
          <w:szCs w:val="22"/>
        </w:rPr>
        <w:t xml:space="preserve">Slovenskej republiky </w:t>
      </w:r>
      <w:r w:rsidRPr="0039193E">
        <w:rPr>
          <w:rFonts w:ascii="Arial" w:hAnsi="Arial" w:cs="Arial"/>
          <w:sz w:val="22"/>
          <w:szCs w:val="22"/>
        </w:rPr>
        <w:t>a v zmysle Výzvy na</w:t>
      </w:r>
      <w:r w:rsidR="00C80BE5" w:rsidRPr="0039193E">
        <w:rPr>
          <w:rFonts w:ascii="Arial" w:hAnsi="Arial" w:cs="Arial"/>
          <w:sz w:val="22"/>
          <w:szCs w:val="22"/>
        </w:rPr>
        <w:t xml:space="preserve"> </w:t>
      </w:r>
      <w:r w:rsidRPr="00F601BD">
        <w:rPr>
          <w:rFonts w:ascii="Arial" w:hAnsi="Arial" w:cs="Arial"/>
          <w:sz w:val="22"/>
          <w:szCs w:val="22"/>
        </w:rPr>
        <w:t>predloženie ponuky pre zákazku s názvom „</w:t>
      </w:r>
      <w:r w:rsidR="00C201E8" w:rsidRPr="00C201E8">
        <w:rPr>
          <w:rFonts w:ascii="Arial" w:hAnsi="Arial" w:cs="Arial"/>
          <w:b/>
          <w:bCs/>
          <w:sz w:val="22"/>
          <w:szCs w:val="22"/>
        </w:rPr>
        <w:t>Zariadenie na spracovanie ovocia</w:t>
      </w:r>
      <w:r w:rsidRPr="00F601BD">
        <w:rPr>
          <w:rFonts w:ascii="Arial" w:hAnsi="Arial" w:cs="Arial"/>
          <w:sz w:val="22"/>
          <w:szCs w:val="22"/>
        </w:rPr>
        <w:t>“.</w:t>
      </w:r>
    </w:p>
    <w:p w14:paraId="79AD1287" w14:textId="0D3A4FE0" w:rsidR="00C142C4" w:rsidRPr="00F601BD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13844508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2DD1CAC8" w14:textId="2FEF83AA" w:rsidR="00C142C4" w:rsidRPr="0039193E" w:rsidRDefault="00E377ED" w:rsidP="0039193E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9193E">
        <w:rPr>
          <w:rFonts w:ascii="Arial" w:hAnsi="Arial" w:cs="Arial"/>
          <w:sz w:val="22"/>
          <w:szCs w:val="22"/>
        </w:rPr>
        <w:t>P</w:t>
      </w:r>
      <w:r w:rsidR="00961508" w:rsidRPr="0039193E">
        <w:rPr>
          <w:rFonts w:ascii="Arial" w:hAnsi="Arial" w:cs="Arial"/>
          <w:sz w:val="22"/>
          <w:szCs w:val="22"/>
        </w:rPr>
        <w:t>redávajúci sa zaväzuje, ž</w:t>
      </w:r>
      <w:r w:rsidR="00D36055" w:rsidRPr="0039193E">
        <w:rPr>
          <w:rFonts w:ascii="Arial" w:hAnsi="Arial" w:cs="Arial"/>
          <w:sz w:val="22"/>
          <w:szCs w:val="22"/>
        </w:rPr>
        <w:t xml:space="preserve">e kupujúcemu dodá a odovzdá tovar a </w:t>
      </w:r>
      <w:r w:rsidR="00F514A1" w:rsidRPr="0039193E">
        <w:rPr>
          <w:rFonts w:ascii="Arial" w:hAnsi="Arial" w:cs="Arial"/>
          <w:sz w:val="22"/>
          <w:szCs w:val="22"/>
        </w:rPr>
        <w:t>služby</w:t>
      </w:r>
      <w:r w:rsidR="00663C82" w:rsidRPr="0039193E">
        <w:rPr>
          <w:rFonts w:ascii="Arial" w:hAnsi="Arial" w:cs="Arial"/>
          <w:sz w:val="22"/>
          <w:szCs w:val="22"/>
        </w:rPr>
        <w:t xml:space="preserve"> s tým spojené,  </w:t>
      </w:r>
      <w:r w:rsidR="00961508" w:rsidRPr="0039193E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39193E">
        <w:rPr>
          <w:rFonts w:ascii="Arial" w:hAnsi="Arial" w:cs="Arial"/>
          <w:sz w:val="22"/>
          <w:szCs w:val="22"/>
        </w:rPr>
        <w:t>,</w:t>
      </w:r>
      <w:r w:rsidR="00961508" w:rsidRPr="0039193E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39193E">
        <w:rPr>
          <w:rFonts w:ascii="Arial" w:hAnsi="Arial" w:cs="Arial"/>
          <w:sz w:val="22"/>
          <w:szCs w:val="22"/>
        </w:rPr>
        <w:t xml:space="preserve">tejto </w:t>
      </w:r>
      <w:r w:rsidR="00961508" w:rsidRPr="0039193E">
        <w:rPr>
          <w:rFonts w:ascii="Arial" w:hAnsi="Arial" w:cs="Arial"/>
          <w:sz w:val="22"/>
          <w:szCs w:val="22"/>
        </w:rPr>
        <w:t>zmluvy</w:t>
      </w:r>
      <w:r w:rsidR="00D5636B" w:rsidRPr="0039193E">
        <w:rPr>
          <w:rFonts w:ascii="Arial" w:hAnsi="Arial" w:cs="Arial"/>
          <w:sz w:val="22"/>
          <w:szCs w:val="22"/>
        </w:rPr>
        <w:t xml:space="preserve"> </w:t>
      </w:r>
      <w:r w:rsidR="00961508" w:rsidRPr="0039193E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Default="00663C82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7A2D06B6" w14:textId="77777777" w:rsidR="00F601BD" w:rsidRPr="00777EEE" w:rsidRDefault="00F601BD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07A4A2EA" w:rsidR="00C142C4" w:rsidRPr="00777EEE" w:rsidRDefault="00961508" w:rsidP="00A47927">
      <w:pPr>
        <w:pStyle w:val="Odsekzoznamu"/>
        <w:numPr>
          <w:ilvl w:val="0"/>
          <w:numId w:val="34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</w:t>
      </w:r>
      <w:r w:rsidRPr="00992184">
        <w:rPr>
          <w:rFonts w:ascii="Arial" w:hAnsi="Arial" w:cs="Arial"/>
          <w:sz w:val="22"/>
          <w:szCs w:val="22"/>
        </w:rPr>
        <w:t xml:space="preserve">najneskôr </w:t>
      </w:r>
      <w:r w:rsidRPr="00F257F2">
        <w:rPr>
          <w:rFonts w:ascii="Arial" w:hAnsi="Arial" w:cs="Arial"/>
          <w:b/>
          <w:bCs/>
          <w:sz w:val="22"/>
          <w:szCs w:val="22"/>
        </w:rPr>
        <w:t xml:space="preserve">do </w:t>
      </w:r>
      <w:r w:rsidR="00F601BD">
        <w:rPr>
          <w:rFonts w:ascii="Arial" w:hAnsi="Arial" w:cs="Arial"/>
          <w:b/>
          <w:bCs/>
          <w:sz w:val="22"/>
          <w:szCs w:val="22"/>
        </w:rPr>
        <w:t>31.5.2025</w:t>
      </w:r>
    </w:p>
    <w:p w14:paraId="762B0458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7C3B45" w14:textId="77777777" w:rsidR="00F601BD" w:rsidRDefault="00F601BD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AB289AB" w14:textId="2C676436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lastRenderedPageBreak/>
        <w:t>Článok III.</w:t>
      </w:r>
    </w:p>
    <w:p w14:paraId="7E58274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EABB1" w14:textId="77777777" w:rsidR="00F601BD" w:rsidRPr="00F601BD" w:rsidRDefault="00961508" w:rsidP="005A4CB5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01BD">
        <w:rPr>
          <w:rFonts w:ascii="Arial" w:hAnsi="Arial" w:cs="Arial"/>
          <w:sz w:val="22"/>
          <w:szCs w:val="22"/>
        </w:rPr>
        <w:t xml:space="preserve">Miestom dodania predmetu </w:t>
      </w:r>
      <w:r w:rsidR="0075097A" w:rsidRPr="00F601BD">
        <w:rPr>
          <w:rFonts w:ascii="Arial" w:hAnsi="Arial" w:cs="Arial"/>
          <w:sz w:val="22"/>
          <w:szCs w:val="22"/>
        </w:rPr>
        <w:t>kúpy</w:t>
      </w:r>
      <w:r w:rsidRPr="00F601BD">
        <w:rPr>
          <w:rFonts w:ascii="Arial" w:hAnsi="Arial" w:cs="Arial"/>
          <w:sz w:val="22"/>
          <w:szCs w:val="22"/>
        </w:rPr>
        <w:t xml:space="preserve"> je:</w:t>
      </w:r>
      <w:r w:rsidR="00831FB6" w:rsidRPr="00F601BD">
        <w:rPr>
          <w:rFonts w:ascii="Arial" w:hAnsi="Arial" w:cs="Arial"/>
          <w:sz w:val="22"/>
          <w:szCs w:val="22"/>
        </w:rPr>
        <w:t xml:space="preserve"> </w:t>
      </w:r>
      <w:bookmarkStart w:id="1" w:name="_Hlk170472746"/>
      <w:r w:rsidR="00F601BD" w:rsidRPr="00F601BD">
        <w:rPr>
          <w:rFonts w:ascii="Arial" w:hAnsi="Arial" w:cs="Arial"/>
          <w:b/>
          <w:bCs/>
          <w:sz w:val="22"/>
          <w:szCs w:val="22"/>
        </w:rPr>
        <w:t>BIOPLANT</w:t>
      </w:r>
      <w:r w:rsidR="00F257F2" w:rsidRPr="00F601BD">
        <w:rPr>
          <w:rFonts w:ascii="Arial" w:hAnsi="Arial" w:cs="Arial"/>
          <w:b/>
          <w:bCs/>
          <w:sz w:val="22"/>
          <w:szCs w:val="22"/>
        </w:rPr>
        <w:t xml:space="preserve">, s.r.o., </w:t>
      </w:r>
      <w:r w:rsidR="00F601BD" w:rsidRPr="00F601BD">
        <w:rPr>
          <w:rFonts w:ascii="Arial" w:hAnsi="Arial" w:cs="Arial"/>
          <w:b/>
          <w:bCs/>
          <w:sz w:val="22"/>
          <w:szCs w:val="22"/>
        </w:rPr>
        <w:t>95634 Ostratice 333</w:t>
      </w:r>
    </w:p>
    <w:bookmarkEnd w:id="1"/>
    <w:p w14:paraId="5F77AAB6" w14:textId="20043194" w:rsidR="00C142C4" w:rsidRPr="00F601BD" w:rsidRDefault="00961508" w:rsidP="005A4CB5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01BD">
        <w:rPr>
          <w:rFonts w:ascii="Arial" w:hAnsi="Arial" w:cs="Arial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1DF062DC" w:rsidR="00C142C4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2EB9FC30" w14:textId="164DEAE6" w:rsidR="00F601BD" w:rsidRDefault="00F601BD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Súčasťou dodávky je zaškolenie obsluhy.</w:t>
      </w:r>
    </w:p>
    <w:p w14:paraId="52020C58" w14:textId="33A06BE1" w:rsidR="00663C82" w:rsidRPr="00D95E57" w:rsidRDefault="00663C82" w:rsidP="00D95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B643F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Rozpis kúpnej ceny:</w:t>
      </w:r>
    </w:p>
    <w:p w14:paraId="1611CFCF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276"/>
        <w:gridCol w:w="1701"/>
      </w:tblGrid>
      <w:tr w:rsidR="00F601BD" w:rsidRPr="00777EEE" w14:paraId="43A2899B" w14:textId="77777777" w:rsidTr="00F601BD">
        <w:trPr>
          <w:trHeight w:val="436"/>
        </w:trPr>
        <w:tc>
          <w:tcPr>
            <w:tcW w:w="2802" w:type="dxa"/>
            <w:vAlign w:val="center"/>
          </w:tcPr>
          <w:p w14:paraId="445DE2AF" w14:textId="77777777" w:rsidR="00F601BD" w:rsidRPr="00777EEE" w:rsidRDefault="00F601BD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0A2ADD3" w14:textId="4D2892A0" w:rsidR="00F601BD" w:rsidRPr="00777EEE" w:rsidRDefault="00F601BD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1701" w:type="dxa"/>
            <w:vAlign w:val="center"/>
          </w:tcPr>
          <w:p w14:paraId="07F07CBC" w14:textId="6CD7CE51" w:rsidR="00F601BD" w:rsidRPr="00777EEE" w:rsidRDefault="00F601BD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  <w:r w:rsidRPr="00777EEE">
              <w:rPr>
                <w:rFonts w:ascii="Arial" w:hAnsi="Arial" w:cs="Arial"/>
                <w:b/>
                <w:sz w:val="22"/>
                <w:szCs w:val="22"/>
              </w:rPr>
              <w:t>v EUR bez DPH</w:t>
            </w:r>
          </w:p>
        </w:tc>
        <w:tc>
          <w:tcPr>
            <w:tcW w:w="1276" w:type="dxa"/>
            <w:vAlign w:val="center"/>
          </w:tcPr>
          <w:p w14:paraId="238F5DA9" w14:textId="226F2DA3" w:rsidR="00F601BD" w:rsidRPr="00777EEE" w:rsidRDefault="00F601BD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  <w:vAlign w:val="center"/>
          </w:tcPr>
          <w:p w14:paraId="4E08D364" w14:textId="7C1ECF11" w:rsidR="00F601BD" w:rsidRPr="00777EEE" w:rsidRDefault="00F601BD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  <w:r w:rsidRPr="00777EEE">
              <w:rPr>
                <w:rFonts w:ascii="Arial" w:hAnsi="Arial" w:cs="Arial"/>
                <w:b/>
                <w:sz w:val="22"/>
                <w:szCs w:val="22"/>
              </w:rPr>
              <w:t>v EUR s DPH</w:t>
            </w:r>
          </w:p>
        </w:tc>
      </w:tr>
      <w:tr w:rsidR="00F601BD" w:rsidRPr="00777EEE" w14:paraId="6AF56F7E" w14:textId="77777777" w:rsidTr="00F601BD">
        <w:trPr>
          <w:trHeight w:val="615"/>
        </w:trPr>
        <w:tc>
          <w:tcPr>
            <w:tcW w:w="2802" w:type="dxa"/>
            <w:vAlign w:val="center"/>
          </w:tcPr>
          <w:p w14:paraId="3954CB11" w14:textId="57643080" w:rsidR="00F601BD" w:rsidRPr="00F601BD" w:rsidRDefault="00C201E8" w:rsidP="00F601BD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01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 na spracovanie ovocia</w:t>
            </w:r>
          </w:p>
        </w:tc>
        <w:tc>
          <w:tcPr>
            <w:tcW w:w="2126" w:type="dxa"/>
            <w:vAlign w:val="center"/>
          </w:tcPr>
          <w:p w14:paraId="494D725E" w14:textId="3A469966" w:rsidR="00F601BD" w:rsidRPr="00777EEE" w:rsidRDefault="00F601BD" w:rsidP="00F601B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5ABB7E" w14:textId="1D755B91" w:rsidR="00F601BD" w:rsidRPr="00777EEE" w:rsidRDefault="00F601BD" w:rsidP="00F601B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296BD2" w14:textId="2FEDFEF5" w:rsidR="00F601BD" w:rsidRPr="00777EEE" w:rsidRDefault="00F601BD" w:rsidP="00F601B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1A31CE" w14:textId="463940BD" w:rsidR="00F601BD" w:rsidRPr="00777EEE" w:rsidRDefault="00F601BD" w:rsidP="00F601B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60AB8" w14:textId="77777777" w:rsidR="00C142C4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878F4" w14:textId="77777777" w:rsidR="00CB3142" w:rsidRPr="00777EEE" w:rsidRDefault="00CB3142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97F44FD" w14:textId="2071F38D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D95E57">
        <w:rPr>
          <w:rFonts w:ascii="Arial" w:hAnsi="Arial" w:cs="Arial"/>
          <w:sz w:val="22"/>
          <w:szCs w:val="22"/>
        </w:rPr>
        <w:t>.</w:t>
      </w:r>
      <w:r w:rsidRPr="00777EEE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777EEE">
        <w:rPr>
          <w:rFonts w:ascii="Arial" w:hAnsi="Arial" w:cs="Arial"/>
          <w:sz w:val="22"/>
          <w:szCs w:val="22"/>
        </w:rPr>
        <w:t>20</w:t>
      </w:r>
      <w:r w:rsidR="00992CA4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 xml:space="preserve">% z ceny predmetu zákazky.  </w:t>
      </w:r>
    </w:p>
    <w:p w14:paraId="6C566ACA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Splatnosť faktúr dojednali zmluvné strany na 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20E50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16723BCE" w:rsidR="00C142C4" w:rsidRPr="00777EEE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kupujúcemu zmluvnú pokutu vo výške 10 % z celkovej kúpnej ceny tovaru/tovarov bez DPH</w:t>
      </w:r>
      <w:r w:rsidR="0075097A" w:rsidRPr="00777EEE">
        <w:rPr>
          <w:rFonts w:ascii="Arial" w:hAnsi="Arial" w:cs="Arial"/>
          <w:sz w:val="22"/>
          <w:szCs w:val="22"/>
        </w:rPr>
        <w:t xml:space="preserve"> a tiež za každý ďalší deň omeškania, počnúc 3. dňom omeškania, zmluvnú pokutu vo výške 0,2%  </w:t>
      </w:r>
      <w:r w:rsidR="00C15723" w:rsidRPr="00777EEE">
        <w:rPr>
          <w:rFonts w:ascii="Arial" w:hAnsi="Arial" w:cs="Arial"/>
          <w:sz w:val="22"/>
          <w:szCs w:val="22"/>
        </w:rPr>
        <w:t>z celkovej kúpnej ceny tovaru/tovarov bez DPH</w:t>
      </w:r>
      <w:r w:rsidRPr="00777EEE">
        <w:rPr>
          <w:rFonts w:ascii="Arial" w:hAnsi="Arial" w:cs="Arial"/>
          <w:sz w:val="22"/>
          <w:szCs w:val="22"/>
        </w:rPr>
        <w:t xml:space="preserve">. </w:t>
      </w:r>
      <w:r w:rsidR="00C15723" w:rsidRPr="00777EEE">
        <w:rPr>
          <w:rFonts w:ascii="Arial" w:hAnsi="Arial" w:cs="Arial"/>
          <w:sz w:val="22"/>
          <w:szCs w:val="22"/>
        </w:rPr>
        <w:t>Popri zmluvnej pokute má kupujúci právo na náhradu škody v celom vzniknutom rozsahu.</w:t>
      </w:r>
    </w:p>
    <w:p w14:paraId="29CBCD59" w14:textId="77777777" w:rsidR="00C142C4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kupujúci dostane do omeškania s platením dohodnutej kúpnej ceny tovaru, zaväzuje sa zaplatiť predávajúcemu úroky z omeškania z dlžnej sumy vo výške podľa zákona.</w:t>
      </w:r>
    </w:p>
    <w:p w14:paraId="5315E34F" w14:textId="77777777" w:rsidR="00D5636B" w:rsidRPr="00777EEE" w:rsidRDefault="00D5636B" w:rsidP="00D95E57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0FA52934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24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4E9926CA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77A6930" w14:textId="7C9F8444" w:rsidR="00F601BD" w:rsidRPr="00777EEE" w:rsidRDefault="00F601BD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 k poskytovaniu pozáručného servisu.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A54615F" w14:textId="6471E08F" w:rsidR="00C142C4" w:rsidRPr="00D95E57" w:rsidRDefault="00961508" w:rsidP="0039193E">
      <w:pPr>
        <w:pStyle w:val="Odsekzoznamu"/>
        <w:numPr>
          <w:ilvl w:val="0"/>
          <w:numId w:val="31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2B0356B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3B21373F" w14:textId="759BA8B5" w:rsidR="00C80BE5" w:rsidRPr="00D95E57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55B8B2EE" w14:textId="77777777" w:rsidR="00445904" w:rsidRPr="00777EEE" w:rsidRDefault="0044590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777EEE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V prípade, že </w:t>
      </w:r>
      <w:r w:rsidR="0031088E" w:rsidRPr="00777EEE">
        <w:rPr>
          <w:rFonts w:ascii="Arial" w:hAnsi="Arial" w:cs="Arial"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 xml:space="preserve"> nedodrž</w:t>
      </w:r>
      <w:r w:rsidR="00696FBB" w:rsidRPr="00777EEE">
        <w:rPr>
          <w:rFonts w:ascii="Arial" w:hAnsi="Arial" w:cs="Arial"/>
          <w:sz w:val="22"/>
          <w:szCs w:val="22"/>
        </w:rPr>
        <w:t>í</w:t>
      </w:r>
      <w:r w:rsidRPr="00777EEE">
        <w:rPr>
          <w:rFonts w:ascii="Arial" w:hAnsi="Arial" w:cs="Arial"/>
          <w:sz w:val="22"/>
          <w:szCs w:val="22"/>
        </w:rPr>
        <w:t xml:space="preserve"> kritériá, na základe ktorých </w:t>
      </w:r>
      <w:r w:rsidR="00101137" w:rsidRPr="00777EEE">
        <w:rPr>
          <w:rFonts w:ascii="Arial" w:hAnsi="Arial" w:cs="Arial"/>
          <w:sz w:val="22"/>
          <w:szCs w:val="22"/>
        </w:rPr>
        <w:t xml:space="preserve">v rámci verejného obstarávania </w:t>
      </w:r>
      <w:r w:rsidRPr="00777EEE">
        <w:rPr>
          <w:rFonts w:ascii="Arial" w:hAnsi="Arial" w:cs="Arial"/>
          <w:sz w:val="22"/>
          <w:szCs w:val="22"/>
        </w:rPr>
        <w:t>získal zákazku, je povinný uhradiť</w:t>
      </w:r>
      <w:r w:rsidR="0031088E" w:rsidRPr="00777EEE">
        <w:rPr>
          <w:rFonts w:ascii="Arial" w:hAnsi="Arial" w:cs="Arial"/>
          <w:sz w:val="22"/>
          <w:szCs w:val="22"/>
        </w:rPr>
        <w:t xml:space="preserve"> kupujúcemu </w:t>
      </w:r>
      <w:r w:rsidR="00101137" w:rsidRPr="00777EEE">
        <w:rPr>
          <w:rFonts w:ascii="Arial" w:hAnsi="Arial" w:cs="Arial"/>
          <w:sz w:val="22"/>
          <w:szCs w:val="22"/>
        </w:rPr>
        <w:t xml:space="preserve">škodu. Za škodu sa považuje aj </w:t>
      </w:r>
      <w:r w:rsidR="0031088E" w:rsidRPr="00777EEE">
        <w:rPr>
          <w:rFonts w:ascii="Arial" w:hAnsi="Arial" w:cs="Arial"/>
          <w:sz w:val="22"/>
          <w:szCs w:val="22"/>
        </w:rPr>
        <w:t xml:space="preserve"> rozdiel medzi jeho cenovou ponukou a ponukou </w:t>
      </w:r>
      <w:r w:rsidR="00101137" w:rsidRPr="00777EEE">
        <w:rPr>
          <w:rFonts w:ascii="Arial" w:hAnsi="Arial" w:cs="Arial"/>
          <w:sz w:val="22"/>
          <w:szCs w:val="22"/>
        </w:rPr>
        <w:t xml:space="preserve">uchádzača </w:t>
      </w:r>
      <w:r w:rsidR="0031088E" w:rsidRPr="00777EEE">
        <w:rPr>
          <w:rFonts w:ascii="Arial" w:hAnsi="Arial" w:cs="Arial"/>
          <w:sz w:val="22"/>
          <w:szCs w:val="22"/>
        </w:rPr>
        <w:t>druhého v poradí predmetnej verejnej súťaže</w:t>
      </w:r>
      <w:r w:rsidRPr="00777EEE">
        <w:rPr>
          <w:rFonts w:ascii="Arial" w:hAnsi="Arial" w:cs="Arial"/>
          <w:sz w:val="22"/>
          <w:szCs w:val="22"/>
        </w:rPr>
        <w:t>.</w:t>
      </w:r>
    </w:p>
    <w:p w14:paraId="523E0E1E" w14:textId="18817575" w:rsidR="00C142C4" w:rsidRPr="00D95E57" w:rsidRDefault="00961508" w:rsidP="00D95E57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777EEE">
        <w:rPr>
          <w:rFonts w:ascii="Arial" w:hAnsi="Arial" w:cs="Arial"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sz w:val="22"/>
          <w:szCs w:val="22"/>
        </w:rPr>
        <w:t>. Obchodného zákonníka.</w:t>
      </w:r>
    </w:p>
    <w:p w14:paraId="119FE097" w14:textId="77777777" w:rsidR="003244D5" w:rsidRPr="00777EEE" w:rsidRDefault="003244D5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54FA98E6" w14:textId="3983C021" w:rsidR="003158A1" w:rsidRPr="0039193E" w:rsidRDefault="00961508" w:rsidP="0039193E">
      <w:pPr>
        <w:pStyle w:val="Odsekzoznamu"/>
        <w:numPr>
          <w:ilvl w:val="0"/>
          <w:numId w:val="32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353202" w14:textId="10497176" w:rsidR="00C142C4" w:rsidRPr="00E377ED" w:rsidRDefault="00961508" w:rsidP="0039193E">
      <w:pPr>
        <w:pStyle w:val="Odsekzoznamu"/>
        <w:numPr>
          <w:ilvl w:val="0"/>
          <w:numId w:val="33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5CCF4D3C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AB6C8B1" w14:textId="03CA4612" w:rsidR="00C142C4" w:rsidRPr="00777EEE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</w:t>
      </w:r>
      <w:r w:rsidR="00FD551C">
        <w:rPr>
          <w:rFonts w:ascii="Arial" w:hAnsi="Arial" w:cs="Arial"/>
          <w:sz w:val="22"/>
          <w:szCs w:val="22"/>
        </w:rPr>
        <w:t> </w:t>
      </w:r>
      <w:r w:rsidR="00F601BD">
        <w:rPr>
          <w:rFonts w:ascii="Arial" w:hAnsi="Arial" w:cs="Arial"/>
          <w:sz w:val="22"/>
          <w:szCs w:val="22"/>
        </w:rPr>
        <w:t>....................</w:t>
      </w:r>
      <w:r w:rsidR="00FD551C">
        <w:rPr>
          <w:rFonts w:ascii="Arial" w:hAnsi="Arial" w:cs="Arial"/>
          <w:sz w:val="22"/>
          <w:szCs w:val="22"/>
        </w:rPr>
        <w:t xml:space="preserve"> </w:t>
      </w:r>
      <w:r w:rsidR="00DC2733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 xml:space="preserve">dňa: </w:t>
      </w:r>
      <w:r w:rsidR="00F601BD">
        <w:rPr>
          <w:rFonts w:ascii="Arial" w:hAnsi="Arial" w:cs="Arial"/>
          <w:sz w:val="22"/>
          <w:szCs w:val="22"/>
        </w:rPr>
        <w:t>..............................</w:t>
      </w:r>
      <w:r w:rsidR="00F601BD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>V</w:t>
      </w:r>
      <w:r w:rsidR="00CA4875">
        <w:rPr>
          <w:rFonts w:ascii="Arial" w:hAnsi="Arial" w:cs="Arial"/>
          <w:sz w:val="22"/>
          <w:szCs w:val="22"/>
        </w:rPr>
        <w:t xml:space="preserve"> </w:t>
      </w:r>
      <w:r w:rsidR="00F601BD">
        <w:rPr>
          <w:rFonts w:ascii="Arial" w:hAnsi="Arial" w:cs="Arial"/>
          <w:sz w:val="22"/>
          <w:szCs w:val="22"/>
        </w:rPr>
        <w:t>Ostraticiach</w:t>
      </w:r>
      <w:r w:rsidR="00F601BD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dňa: ................</w:t>
      </w:r>
    </w:p>
    <w:p w14:paraId="513E2D74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799C2" w14:textId="77777777" w:rsidR="00E377ED" w:rsidRPr="00777EEE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6AC88C" w14:textId="75BC0EE3" w:rsidR="00777EEE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00BA58F6" w14:textId="1DB0CF19" w:rsidR="00C142C4" w:rsidRPr="002B643D" w:rsidRDefault="00777EEE" w:rsidP="002B643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01BD">
        <w:rPr>
          <w:rFonts w:ascii="Arial" w:hAnsi="Arial" w:cs="Arial"/>
          <w:b/>
          <w:sz w:val="22"/>
          <w:szCs w:val="22"/>
        </w:rPr>
        <w:t>....................</w:t>
      </w:r>
      <w:r w:rsidR="00930419">
        <w:rPr>
          <w:rFonts w:ascii="Arial" w:hAnsi="Arial" w:cs="Arial"/>
          <w:b/>
          <w:sz w:val="22"/>
          <w:szCs w:val="22"/>
        </w:rPr>
        <w:t xml:space="preserve">                  </w:t>
      </w:r>
      <w:r w:rsidRPr="006703A7">
        <w:rPr>
          <w:rFonts w:ascii="Arial" w:hAnsi="Arial" w:cs="Arial"/>
          <w:b/>
          <w:sz w:val="22"/>
          <w:szCs w:val="22"/>
        </w:rPr>
        <w:tab/>
      </w:r>
      <w:r w:rsidR="00416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</w:t>
      </w:r>
      <w:r w:rsidR="0078300B" w:rsidRPr="006703A7">
        <w:rPr>
          <w:rFonts w:ascii="Arial" w:hAnsi="Arial" w:cs="Arial"/>
          <w:sz w:val="22"/>
          <w:szCs w:val="22"/>
        </w:rPr>
        <w:t>.....................................</w:t>
      </w:r>
    </w:p>
    <w:sectPr w:rsidR="00C142C4" w:rsidRPr="002B643D" w:rsidSect="008F5D92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85507" w14:textId="77777777" w:rsidR="00AA29D9" w:rsidRDefault="00AA29D9">
      <w:r>
        <w:separator/>
      </w:r>
    </w:p>
  </w:endnote>
  <w:endnote w:type="continuationSeparator" w:id="0">
    <w:p w14:paraId="53B09765" w14:textId="77777777" w:rsidR="00AA29D9" w:rsidRDefault="00A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9F3225">
      <w:rPr>
        <w:noProof/>
      </w:rPr>
      <w:t>1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3EE47" w14:textId="77777777" w:rsidR="00AA29D9" w:rsidRDefault="00AA29D9">
      <w:r>
        <w:separator/>
      </w:r>
    </w:p>
  </w:footnote>
  <w:footnote w:type="continuationSeparator" w:id="0">
    <w:p w14:paraId="26D8AF4E" w14:textId="77777777" w:rsidR="00AA29D9" w:rsidRDefault="00AA29D9">
      <w:r>
        <w:continuationSeparator/>
      </w:r>
    </w:p>
  </w:footnote>
  <w:footnote w:id="1">
    <w:p w14:paraId="759B1E79" w14:textId="4E0227C0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2">
    <w:p w14:paraId="19A7CE61" w14:textId="074F54C6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3">
    <w:p w14:paraId="3D388658" w14:textId="29B5A4BC" w:rsidR="00445904" w:rsidRDefault="00445904">
      <w:pPr>
        <w:pStyle w:val="Textpoznmkypodiarou"/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EA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96E"/>
    <w:multiLevelType w:val="hybridMultilevel"/>
    <w:tmpl w:val="B18A6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2E0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A4D95"/>
    <w:multiLevelType w:val="hybridMultilevel"/>
    <w:tmpl w:val="2B629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B74E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168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8F1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3F"/>
    <w:multiLevelType w:val="hybridMultilevel"/>
    <w:tmpl w:val="3B08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160899">
    <w:abstractNumId w:val="15"/>
  </w:num>
  <w:num w:numId="2" w16cid:durableId="1638341736">
    <w:abstractNumId w:val="4"/>
  </w:num>
  <w:num w:numId="3" w16cid:durableId="791752208">
    <w:abstractNumId w:val="21"/>
  </w:num>
  <w:num w:numId="4" w16cid:durableId="729382812">
    <w:abstractNumId w:val="12"/>
  </w:num>
  <w:num w:numId="5" w16cid:durableId="71975161">
    <w:abstractNumId w:val="20"/>
  </w:num>
  <w:num w:numId="6" w16cid:durableId="1258443599">
    <w:abstractNumId w:val="8"/>
  </w:num>
  <w:num w:numId="7" w16cid:durableId="505754219">
    <w:abstractNumId w:val="9"/>
  </w:num>
  <w:num w:numId="8" w16cid:durableId="376511300">
    <w:abstractNumId w:val="31"/>
  </w:num>
  <w:num w:numId="9" w16cid:durableId="2022970765">
    <w:abstractNumId w:val="33"/>
  </w:num>
  <w:num w:numId="10" w16cid:durableId="413666556">
    <w:abstractNumId w:val="14"/>
  </w:num>
  <w:num w:numId="11" w16cid:durableId="708913607">
    <w:abstractNumId w:val="7"/>
  </w:num>
  <w:num w:numId="12" w16cid:durableId="1104963679">
    <w:abstractNumId w:val="24"/>
  </w:num>
  <w:num w:numId="13" w16cid:durableId="1939563614">
    <w:abstractNumId w:val="27"/>
  </w:num>
  <w:num w:numId="14" w16cid:durableId="841046299">
    <w:abstractNumId w:val="17"/>
  </w:num>
  <w:num w:numId="15" w16cid:durableId="543563707">
    <w:abstractNumId w:val="5"/>
  </w:num>
  <w:num w:numId="16" w16cid:durableId="392512166">
    <w:abstractNumId w:val="30"/>
  </w:num>
  <w:num w:numId="17" w16cid:durableId="657072230">
    <w:abstractNumId w:val="22"/>
  </w:num>
  <w:num w:numId="18" w16cid:durableId="1953244298">
    <w:abstractNumId w:val="26"/>
  </w:num>
  <w:num w:numId="19" w16cid:durableId="1489707812">
    <w:abstractNumId w:val="0"/>
  </w:num>
  <w:num w:numId="20" w16cid:durableId="179006827">
    <w:abstractNumId w:val="34"/>
  </w:num>
  <w:num w:numId="21" w16cid:durableId="1632437034">
    <w:abstractNumId w:val="29"/>
  </w:num>
  <w:num w:numId="22" w16cid:durableId="2016767120">
    <w:abstractNumId w:val="19"/>
  </w:num>
  <w:num w:numId="23" w16cid:durableId="2109504304">
    <w:abstractNumId w:val="18"/>
  </w:num>
  <w:num w:numId="24" w16cid:durableId="839546217">
    <w:abstractNumId w:val="3"/>
  </w:num>
  <w:num w:numId="25" w16cid:durableId="908266356">
    <w:abstractNumId w:val="28"/>
  </w:num>
  <w:num w:numId="26" w16cid:durableId="1295256593">
    <w:abstractNumId w:val="6"/>
  </w:num>
  <w:num w:numId="27" w16cid:durableId="564531024">
    <w:abstractNumId w:val="16"/>
  </w:num>
  <w:num w:numId="28" w16cid:durableId="533078467">
    <w:abstractNumId w:val="2"/>
  </w:num>
  <w:num w:numId="29" w16cid:durableId="1207373155">
    <w:abstractNumId w:val="11"/>
  </w:num>
  <w:num w:numId="30" w16cid:durableId="1298797656">
    <w:abstractNumId w:val="32"/>
  </w:num>
  <w:num w:numId="31" w16cid:durableId="141892785">
    <w:abstractNumId w:val="1"/>
  </w:num>
  <w:num w:numId="32" w16cid:durableId="942960365">
    <w:abstractNumId w:val="25"/>
  </w:num>
  <w:num w:numId="33" w16cid:durableId="766194668">
    <w:abstractNumId w:val="13"/>
  </w:num>
  <w:num w:numId="34" w16cid:durableId="2047481174">
    <w:abstractNumId w:val="10"/>
  </w:num>
  <w:num w:numId="35" w16cid:durableId="15630594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043D4"/>
    <w:rsid w:val="00026B97"/>
    <w:rsid w:val="00032068"/>
    <w:rsid w:val="00041480"/>
    <w:rsid w:val="00067B89"/>
    <w:rsid w:val="00093EFA"/>
    <w:rsid w:val="000B27FC"/>
    <w:rsid w:val="000B762B"/>
    <w:rsid w:val="000C48BF"/>
    <w:rsid w:val="000D1E59"/>
    <w:rsid w:val="000D74B5"/>
    <w:rsid w:val="00101137"/>
    <w:rsid w:val="00174C1A"/>
    <w:rsid w:val="00193688"/>
    <w:rsid w:val="001A1155"/>
    <w:rsid w:val="001E622D"/>
    <w:rsid w:val="001F72D1"/>
    <w:rsid w:val="00227879"/>
    <w:rsid w:val="00240F75"/>
    <w:rsid w:val="00253B98"/>
    <w:rsid w:val="0025634D"/>
    <w:rsid w:val="00281284"/>
    <w:rsid w:val="0028257E"/>
    <w:rsid w:val="002A252E"/>
    <w:rsid w:val="002B643D"/>
    <w:rsid w:val="002C25C9"/>
    <w:rsid w:val="0031088E"/>
    <w:rsid w:val="003158A1"/>
    <w:rsid w:val="003244D5"/>
    <w:rsid w:val="0033007A"/>
    <w:rsid w:val="00332D8E"/>
    <w:rsid w:val="003437ED"/>
    <w:rsid w:val="0039193E"/>
    <w:rsid w:val="00395DA9"/>
    <w:rsid w:val="003A7547"/>
    <w:rsid w:val="003A7984"/>
    <w:rsid w:val="003C42BE"/>
    <w:rsid w:val="0040752D"/>
    <w:rsid w:val="004162E0"/>
    <w:rsid w:val="00416DCF"/>
    <w:rsid w:val="00445904"/>
    <w:rsid w:val="00461CC9"/>
    <w:rsid w:val="004E513B"/>
    <w:rsid w:val="00526D9B"/>
    <w:rsid w:val="00532CE7"/>
    <w:rsid w:val="00540439"/>
    <w:rsid w:val="00591893"/>
    <w:rsid w:val="00593E77"/>
    <w:rsid w:val="00595D3F"/>
    <w:rsid w:val="00616088"/>
    <w:rsid w:val="00663C82"/>
    <w:rsid w:val="00664383"/>
    <w:rsid w:val="006810DC"/>
    <w:rsid w:val="006851AC"/>
    <w:rsid w:val="00696FBB"/>
    <w:rsid w:val="006A67E1"/>
    <w:rsid w:val="006A71B9"/>
    <w:rsid w:val="006D1DDF"/>
    <w:rsid w:val="006E3172"/>
    <w:rsid w:val="007104BC"/>
    <w:rsid w:val="00747A45"/>
    <w:rsid w:val="0075097A"/>
    <w:rsid w:val="00752061"/>
    <w:rsid w:val="00777EEE"/>
    <w:rsid w:val="0078300B"/>
    <w:rsid w:val="00792CC3"/>
    <w:rsid w:val="007E6CA7"/>
    <w:rsid w:val="007F2B76"/>
    <w:rsid w:val="0081007C"/>
    <w:rsid w:val="008150D0"/>
    <w:rsid w:val="00831FB6"/>
    <w:rsid w:val="00863E7F"/>
    <w:rsid w:val="00884BD6"/>
    <w:rsid w:val="008F5D92"/>
    <w:rsid w:val="00920036"/>
    <w:rsid w:val="0092308B"/>
    <w:rsid w:val="00930419"/>
    <w:rsid w:val="00934584"/>
    <w:rsid w:val="00937500"/>
    <w:rsid w:val="00961508"/>
    <w:rsid w:val="00976491"/>
    <w:rsid w:val="00992184"/>
    <w:rsid w:val="00992CA4"/>
    <w:rsid w:val="009F3225"/>
    <w:rsid w:val="00A03C99"/>
    <w:rsid w:val="00A36D6D"/>
    <w:rsid w:val="00A43522"/>
    <w:rsid w:val="00A455C5"/>
    <w:rsid w:val="00A47927"/>
    <w:rsid w:val="00A71A3E"/>
    <w:rsid w:val="00A82B5B"/>
    <w:rsid w:val="00A879E9"/>
    <w:rsid w:val="00AA29D9"/>
    <w:rsid w:val="00AC5405"/>
    <w:rsid w:val="00AD4047"/>
    <w:rsid w:val="00B00E09"/>
    <w:rsid w:val="00B204AE"/>
    <w:rsid w:val="00B32F5B"/>
    <w:rsid w:val="00B64955"/>
    <w:rsid w:val="00B84E3B"/>
    <w:rsid w:val="00BB752E"/>
    <w:rsid w:val="00BE6BD9"/>
    <w:rsid w:val="00BE78D5"/>
    <w:rsid w:val="00BF0F00"/>
    <w:rsid w:val="00C142C4"/>
    <w:rsid w:val="00C15723"/>
    <w:rsid w:val="00C201E8"/>
    <w:rsid w:val="00C3071E"/>
    <w:rsid w:val="00C4222B"/>
    <w:rsid w:val="00C73058"/>
    <w:rsid w:val="00C80BE5"/>
    <w:rsid w:val="00C91E73"/>
    <w:rsid w:val="00CA2486"/>
    <w:rsid w:val="00CA4875"/>
    <w:rsid w:val="00CA4D16"/>
    <w:rsid w:val="00CA6CCD"/>
    <w:rsid w:val="00CB3142"/>
    <w:rsid w:val="00CB7D82"/>
    <w:rsid w:val="00CE1D5E"/>
    <w:rsid w:val="00CE58D4"/>
    <w:rsid w:val="00D36055"/>
    <w:rsid w:val="00D5636B"/>
    <w:rsid w:val="00D6156F"/>
    <w:rsid w:val="00D95E57"/>
    <w:rsid w:val="00DC2733"/>
    <w:rsid w:val="00DD7DC9"/>
    <w:rsid w:val="00DF27E4"/>
    <w:rsid w:val="00E01AAA"/>
    <w:rsid w:val="00E11051"/>
    <w:rsid w:val="00E262F2"/>
    <w:rsid w:val="00E36707"/>
    <w:rsid w:val="00E36935"/>
    <w:rsid w:val="00E377ED"/>
    <w:rsid w:val="00E461DF"/>
    <w:rsid w:val="00EF0AE7"/>
    <w:rsid w:val="00F255FF"/>
    <w:rsid w:val="00F257F2"/>
    <w:rsid w:val="00F41E7B"/>
    <w:rsid w:val="00F514A1"/>
    <w:rsid w:val="00F601BD"/>
    <w:rsid w:val="00FB1347"/>
    <w:rsid w:val="00FD0696"/>
    <w:rsid w:val="00FD551C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584FDD24-E6DA-4B71-B783-DA41851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60F7-080A-4446-A660-93735C6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Krčmárik</cp:lastModifiedBy>
  <cp:revision>3</cp:revision>
  <cp:lastPrinted>2019-02-06T16:14:00Z</cp:lastPrinted>
  <dcterms:created xsi:type="dcterms:W3CDTF">2024-05-02T14:51:00Z</dcterms:created>
  <dcterms:modified xsi:type="dcterms:W3CDTF">2024-06-28T11:13:00Z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2023-04-05T13:03:33Z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921d73c5-b50e-4dff-bda2-62eb6813eacf</vt:lpwstr>
  </property>
  <property fmtid="{D5CDD505-2E9C-101B-9397-08002B2CF9AE}" pid="14" name="MSIP_Label_ea60d57e-af5b-4752-ac57-3e4f28ca11dc_ContentBits">
    <vt:lpwstr>0</vt:lpwstr>
  </property>
</Properties>
</file>