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1B8CFE3D" w14:textId="16D93DAF" w:rsidR="0073020D" w:rsidRDefault="00D27799" w:rsidP="002947AB">
      <w:pPr>
        <w:pStyle w:val="Default"/>
        <w:jc w:val="center"/>
        <w:rPr>
          <w:rFonts w:asciiTheme="minorHAnsi" w:hAnsiTheme="minorHAnsi" w:cstheme="minorHAnsi"/>
          <w:bCs/>
          <w:sz w:val="22"/>
          <w:szCs w:val="22"/>
        </w:rPr>
      </w:pPr>
      <w:r>
        <w:rPr>
          <w:rStyle w:val="CharStyle13"/>
          <w:rFonts w:asciiTheme="minorHAnsi" w:eastAsia="Times New Roman" w:hAnsiTheme="minorHAnsi" w:cstheme="minorHAnsi"/>
          <w:sz w:val="28"/>
          <w:szCs w:val="28"/>
          <w:lang w:eastAsia="sk-SK"/>
        </w:rPr>
        <w:t>„</w:t>
      </w:r>
      <w:r w:rsidR="009429CA">
        <w:rPr>
          <w:rStyle w:val="CharStyle13"/>
          <w:rFonts w:asciiTheme="minorHAnsi" w:eastAsia="Times New Roman" w:hAnsiTheme="minorHAnsi" w:cstheme="minorHAnsi"/>
          <w:sz w:val="28"/>
          <w:szCs w:val="28"/>
          <w:lang w:eastAsia="sk-SK"/>
        </w:rPr>
        <w:t>Domov dôchodcov a domov sociálnych služieb, Kremnica – zn</w:t>
      </w:r>
      <w:r w:rsidR="007552E2">
        <w:rPr>
          <w:rStyle w:val="CharStyle13"/>
          <w:rFonts w:asciiTheme="minorHAnsi" w:eastAsia="Times New Roman" w:hAnsiTheme="minorHAnsi" w:cstheme="minorHAnsi"/>
          <w:sz w:val="28"/>
          <w:szCs w:val="28"/>
          <w:lang w:eastAsia="sk-SK"/>
        </w:rPr>
        <w:t>í</w:t>
      </w:r>
      <w:r w:rsidR="009429CA">
        <w:rPr>
          <w:rStyle w:val="CharStyle13"/>
          <w:rFonts w:asciiTheme="minorHAnsi" w:eastAsia="Times New Roman" w:hAnsiTheme="minorHAnsi" w:cstheme="minorHAnsi"/>
          <w:sz w:val="28"/>
          <w:szCs w:val="28"/>
          <w:lang w:eastAsia="sk-SK"/>
        </w:rPr>
        <w:t>ženie energetickej náročnosti</w:t>
      </w:r>
      <w:r w:rsidR="007552E2">
        <w:rPr>
          <w:rStyle w:val="CharStyle13"/>
          <w:rFonts w:asciiTheme="minorHAnsi" w:eastAsia="Times New Roman" w:hAnsiTheme="minorHAnsi" w:cstheme="minorHAnsi"/>
          <w:sz w:val="28"/>
          <w:szCs w:val="28"/>
          <w:lang w:eastAsia="sk-SK"/>
        </w:rPr>
        <w:t xml:space="preserve"> objektu</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r w:rsidR="0073020D">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52F5BAA7"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Zariadenie sociálnych služieb Pod Skalkou</w:t>
      </w:r>
    </w:p>
    <w:p w14:paraId="6F73409D"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Sídlo: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Bystrická 447/25, 967 01 Kremnica</w:t>
      </w:r>
    </w:p>
    <w:p w14:paraId="3382C750" w14:textId="4BC42963" w:rsidR="009429CA" w:rsidRPr="00732205" w:rsidRDefault="009429CA" w:rsidP="009429CA">
      <w:pPr>
        <w:spacing w:after="0" w:line="240" w:lineRule="auto"/>
        <w:rPr>
          <w:rFonts w:cstheme="minorHAnsi"/>
          <w:b/>
          <w:iCs/>
          <w:lang w:eastAsia="cs-CZ"/>
        </w:rPr>
      </w:pPr>
      <w:r w:rsidRPr="00732205">
        <w:rPr>
          <w:rFonts w:cstheme="minorHAnsi"/>
          <w:b/>
          <w:iCs/>
          <w:lang w:eastAsia="cs-CZ"/>
        </w:rPr>
        <w:t>Právna forma:</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rozpočtová organizácia</w:t>
      </w:r>
    </w:p>
    <w:p w14:paraId="3B2520B4" w14:textId="57A4DC8C" w:rsidR="009429CA" w:rsidRPr="00732205" w:rsidRDefault="009429CA" w:rsidP="009429CA">
      <w:pPr>
        <w:spacing w:after="0" w:line="240" w:lineRule="auto"/>
        <w:rPr>
          <w:rFonts w:cstheme="minorHAnsi"/>
          <w:b/>
          <w:iCs/>
          <w:lang w:eastAsia="cs-CZ"/>
        </w:rPr>
      </w:pPr>
      <w:r w:rsidRPr="00732205">
        <w:rPr>
          <w:rFonts w:cstheme="minorHAnsi"/>
          <w:b/>
          <w:iCs/>
          <w:lang w:eastAsia="cs-CZ"/>
        </w:rPr>
        <w:t>Štatutárny orgán:</w:t>
      </w:r>
      <w:r w:rsidRPr="00732205">
        <w:rPr>
          <w:rFonts w:cstheme="minorHAnsi"/>
          <w:b/>
          <w:iCs/>
          <w:lang w:eastAsia="cs-CZ"/>
        </w:rPr>
        <w:tab/>
      </w:r>
      <w:r w:rsidRPr="00732205">
        <w:rPr>
          <w:rFonts w:cstheme="minorHAnsi"/>
          <w:b/>
          <w:iCs/>
          <w:lang w:eastAsia="cs-CZ"/>
        </w:rPr>
        <w:tab/>
        <w:t xml:space="preserve">Mgr. Erika </w:t>
      </w:r>
      <w:proofErr w:type="spellStart"/>
      <w:r w:rsidRPr="00732205">
        <w:rPr>
          <w:rFonts w:cstheme="minorHAnsi"/>
          <w:b/>
          <w:iCs/>
          <w:lang w:eastAsia="cs-CZ"/>
        </w:rPr>
        <w:t>Hollerová</w:t>
      </w:r>
      <w:proofErr w:type="spellEnd"/>
      <w:r w:rsidRPr="00732205">
        <w:rPr>
          <w:rFonts w:cstheme="minorHAnsi"/>
          <w:b/>
          <w:iCs/>
          <w:lang w:eastAsia="cs-CZ"/>
        </w:rPr>
        <w:t>, riaditeľka</w:t>
      </w:r>
    </w:p>
    <w:p w14:paraId="1A646EA9"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IČO: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00647900</w:t>
      </w:r>
    </w:p>
    <w:p w14:paraId="19F617FF" w14:textId="78127A5A" w:rsidR="009429CA" w:rsidRPr="00732205" w:rsidRDefault="009429CA" w:rsidP="009429CA">
      <w:pPr>
        <w:spacing w:after="0" w:line="240" w:lineRule="auto"/>
        <w:rPr>
          <w:rFonts w:cstheme="minorHAnsi"/>
          <w:b/>
          <w:iCs/>
          <w:lang w:eastAsia="cs-CZ"/>
        </w:rPr>
      </w:pPr>
      <w:r w:rsidRPr="00732205">
        <w:rPr>
          <w:rFonts w:cstheme="minorHAnsi"/>
          <w:b/>
          <w:iCs/>
          <w:lang w:eastAsia="cs-CZ"/>
        </w:rPr>
        <w:t>DIČ:</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2020536848</w:t>
      </w:r>
    </w:p>
    <w:p w14:paraId="110359DF" w14:textId="05460F68" w:rsidR="009429CA" w:rsidRPr="00732205" w:rsidRDefault="009429CA" w:rsidP="009429CA">
      <w:pPr>
        <w:spacing w:after="0" w:line="240" w:lineRule="auto"/>
        <w:rPr>
          <w:rFonts w:cstheme="minorHAnsi"/>
          <w:b/>
          <w:iCs/>
          <w:lang w:eastAsia="cs-CZ"/>
        </w:rPr>
      </w:pPr>
      <w:r w:rsidRPr="00732205">
        <w:rPr>
          <w:rFonts w:cstheme="minorHAnsi"/>
          <w:b/>
          <w:iCs/>
          <w:lang w:eastAsia="cs-CZ"/>
        </w:rPr>
        <w:t>Bankové spojenie:</w:t>
      </w:r>
      <w:r w:rsidRPr="00732205">
        <w:rPr>
          <w:rFonts w:cstheme="minorHAnsi"/>
          <w:b/>
          <w:iCs/>
          <w:lang w:eastAsia="cs-CZ"/>
        </w:rPr>
        <w:tab/>
      </w:r>
      <w:r w:rsidRPr="00732205">
        <w:rPr>
          <w:rFonts w:cstheme="minorHAnsi"/>
          <w:b/>
          <w:iCs/>
          <w:lang w:eastAsia="cs-CZ"/>
        </w:rPr>
        <w:tab/>
        <w:t>Štátna pokladnica</w:t>
      </w:r>
    </w:p>
    <w:p w14:paraId="489B7762" w14:textId="1F1E696B" w:rsidR="009429CA" w:rsidRPr="00732205" w:rsidRDefault="009429CA" w:rsidP="009429CA">
      <w:pPr>
        <w:spacing w:after="0" w:line="240" w:lineRule="auto"/>
        <w:rPr>
          <w:rFonts w:cstheme="minorHAnsi"/>
          <w:b/>
          <w:iCs/>
          <w:lang w:eastAsia="cs-CZ"/>
        </w:rPr>
      </w:pPr>
      <w:r w:rsidRPr="00732205">
        <w:rPr>
          <w:rFonts w:cstheme="minorHAnsi"/>
          <w:b/>
          <w:iCs/>
          <w:lang w:eastAsia="cs-CZ"/>
        </w:rPr>
        <w:t>Číslo účtu:</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8F5B5C">
        <w:t xml:space="preserve">SK83 8180 0000 0070 0069  9562 </w:t>
      </w:r>
    </w:p>
    <w:p w14:paraId="0F3FCD5C" w14:textId="2A7F16FA" w:rsidR="009429CA" w:rsidRPr="00732205" w:rsidRDefault="009429CA" w:rsidP="009429CA">
      <w:pPr>
        <w:spacing w:after="0" w:line="240" w:lineRule="auto"/>
        <w:rPr>
          <w:rFonts w:cstheme="minorHAnsi"/>
          <w:b/>
          <w:iCs/>
          <w:lang w:eastAsia="cs-CZ"/>
        </w:rPr>
      </w:pPr>
      <w:r w:rsidRPr="00732205">
        <w:rPr>
          <w:rFonts w:cstheme="minorHAnsi"/>
          <w:b/>
          <w:iCs/>
          <w:lang w:eastAsia="cs-CZ"/>
        </w:rPr>
        <w:t>Osoby oprávnené rokovať</w:t>
      </w:r>
    </w:p>
    <w:p w14:paraId="1DB60556" w14:textId="1A8213AB" w:rsidR="009429CA" w:rsidRPr="00732205" w:rsidRDefault="009429CA" w:rsidP="009429CA">
      <w:pPr>
        <w:spacing w:after="0" w:line="240" w:lineRule="auto"/>
        <w:rPr>
          <w:rFonts w:cstheme="minorHAnsi"/>
          <w:b/>
          <w:iCs/>
          <w:lang w:eastAsia="cs-CZ"/>
        </w:rPr>
      </w:pPr>
      <w:r w:rsidRPr="00732205">
        <w:rPr>
          <w:rFonts w:cstheme="minorHAnsi"/>
          <w:b/>
          <w:iCs/>
          <w:lang w:eastAsia="cs-CZ"/>
        </w:rPr>
        <w:t>vo veciach Zmluvy:</w:t>
      </w:r>
      <w:r w:rsidRPr="00732205">
        <w:rPr>
          <w:rFonts w:cstheme="minorHAnsi"/>
          <w:b/>
          <w:iCs/>
          <w:lang w:eastAsia="cs-CZ"/>
        </w:rPr>
        <w:tab/>
      </w:r>
      <w:r w:rsidRPr="00732205">
        <w:rPr>
          <w:rFonts w:cstheme="minorHAnsi"/>
          <w:b/>
          <w:iCs/>
          <w:lang w:eastAsia="cs-CZ"/>
        </w:rPr>
        <w:tab/>
        <w:t xml:space="preserve">Mgr. Erika </w:t>
      </w:r>
      <w:proofErr w:type="spellStart"/>
      <w:r w:rsidRPr="00732205">
        <w:rPr>
          <w:rFonts w:cstheme="minorHAnsi"/>
          <w:b/>
          <w:iCs/>
          <w:lang w:eastAsia="cs-CZ"/>
        </w:rPr>
        <w:t>Hollerová</w:t>
      </w:r>
      <w:proofErr w:type="spellEnd"/>
      <w:r w:rsidRPr="00732205">
        <w:rPr>
          <w:rFonts w:cstheme="minorHAnsi"/>
          <w:b/>
          <w:iCs/>
          <w:lang w:eastAsia="cs-CZ"/>
        </w:rPr>
        <w:t>, riaditeľka</w:t>
      </w:r>
    </w:p>
    <w:p w14:paraId="6AF76F95"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 xml:space="preserve">Osoby oprávnené rokovať </w:t>
      </w:r>
    </w:p>
    <w:p w14:paraId="3180A1F0"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v technických</w:t>
      </w:r>
    </w:p>
    <w:p w14:paraId="2ED142F0" w14:textId="712EFF10" w:rsidR="009429CA" w:rsidRPr="00732205" w:rsidRDefault="009429CA" w:rsidP="009429CA">
      <w:pPr>
        <w:spacing w:after="0" w:line="240" w:lineRule="auto"/>
        <w:rPr>
          <w:rFonts w:cstheme="minorHAnsi"/>
          <w:b/>
          <w:iCs/>
          <w:lang w:eastAsia="cs-CZ"/>
        </w:rPr>
      </w:pPr>
      <w:r w:rsidRPr="00732205">
        <w:rPr>
          <w:rFonts w:cstheme="minorHAnsi"/>
          <w:b/>
          <w:iCs/>
          <w:lang w:eastAsia="cs-CZ"/>
        </w:rPr>
        <w:t>(realizačných) veciach:</w:t>
      </w:r>
      <w:r w:rsidRPr="00732205">
        <w:rPr>
          <w:rFonts w:cstheme="minorHAnsi"/>
          <w:b/>
          <w:iCs/>
          <w:lang w:eastAsia="cs-CZ"/>
        </w:rPr>
        <w:tab/>
      </w:r>
      <w:r w:rsidRPr="00732205">
        <w:rPr>
          <w:rFonts w:cstheme="minorHAnsi"/>
          <w:b/>
          <w:iCs/>
          <w:lang w:eastAsia="cs-CZ"/>
        </w:rPr>
        <w:tab/>
      </w:r>
      <w:r w:rsidR="00255DCF">
        <w:rPr>
          <w:rFonts w:cstheme="minorHAnsi"/>
          <w:b/>
          <w:iCs/>
          <w:lang w:eastAsia="cs-CZ"/>
        </w:rPr>
        <w:t>Ing. Peter Mišura</w:t>
      </w:r>
      <w:r w:rsidRPr="00732205">
        <w:rPr>
          <w:rFonts w:cstheme="minorHAnsi"/>
          <w:b/>
          <w:iCs/>
          <w:lang w:eastAsia="cs-CZ"/>
        </w:rPr>
        <w:tab/>
      </w:r>
    </w:p>
    <w:p w14:paraId="2D01C75B" w14:textId="32FC0964" w:rsidR="009429CA" w:rsidRPr="00732205" w:rsidRDefault="009429CA" w:rsidP="009429CA">
      <w:pPr>
        <w:spacing w:after="0" w:line="240" w:lineRule="auto"/>
        <w:rPr>
          <w:rFonts w:cstheme="minorHAnsi"/>
          <w:b/>
          <w:iCs/>
          <w:lang w:eastAsia="cs-CZ"/>
        </w:rPr>
      </w:pPr>
      <w:r w:rsidRPr="00732205">
        <w:rPr>
          <w:rFonts w:cstheme="minorHAnsi"/>
          <w:b/>
          <w:iCs/>
          <w:lang w:eastAsia="cs-CZ"/>
        </w:rPr>
        <w:t>Telefón/ fax:</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04</w:t>
      </w:r>
      <w:r w:rsidR="00255DCF">
        <w:rPr>
          <w:rFonts w:cstheme="minorHAnsi"/>
          <w:b/>
          <w:iCs/>
          <w:lang w:eastAsia="cs-CZ"/>
        </w:rPr>
        <w:t>84325526, 0905590 112</w:t>
      </w:r>
    </w:p>
    <w:p w14:paraId="3E87E2B7" w14:textId="0A010F7B" w:rsidR="00141CBD" w:rsidRPr="00732205" w:rsidRDefault="009429CA" w:rsidP="002947AB">
      <w:pPr>
        <w:spacing w:after="0" w:line="240" w:lineRule="auto"/>
        <w:jc w:val="both"/>
        <w:rPr>
          <w:rFonts w:cstheme="minorHAnsi"/>
        </w:rPr>
      </w:pPr>
      <w:r w:rsidRPr="00732205">
        <w:rPr>
          <w:rFonts w:cstheme="minorHAnsi"/>
          <w:b/>
          <w:iCs/>
          <w:lang w:eastAsia="cs-CZ"/>
        </w:rPr>
        <w:t>E mail:</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bookmarkStart w:id="1" w:name="_Hlk167871030"/>
      <w:r w:rsidR="00255DCF">
        <w:rPr>
          <w:rFonts w:cstheme="minorHAnsi"/>
          <w:b/>
          <w:iCs/>
          <w:lang w:eastAsia="cs-CZ"/>
        </w:rPr>
        <w:t>peter.misura@bbsk.sk</w:t>
      </w:r>
      <w:bookmarkEnd w:id="1"/>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786E286D"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lastRenderedPageBreak/>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9429CA">
        <w:rPr>
          <w:rFonts w:asciiTheme="minorHAnsi" w:hAnsiTheme="minorHAnsi" w:cstheme="minorHAnsi"/>
        </w:rPr>
        <w:t>Domov dôchodcov a domov sociálnych služieb, Kremnica</w:t>
      </w:r>
      <w:r w:rsidR="0019149B" w:rsidRPr="0019149B">
        <w:rPr>
          <w:rFonts w:asciiTheme="minorHAnsi" w:hAnsiTheme="minorHAnsi" w:cstheme="minorHAnsi"/>
          <w:b/>
          <w:bCs/>
        </w:rPr>
        <w:t xml:space="preserve"> - zníženie energetickej náročnosti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6ED6AE15"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Ministerstvo </w:t>
      </w:r>
      <w:r w:rsidR="00BB1F80" w:rsidRPr="00BD7ABC">
        <w:rPr>
          <w:rFonts w:asciiTheme="minorHAnsi" w:hAnsiTheme="minorHAnsi" w:cstheme="minorHAnsi"/>
        </w:rPr>
        <w:t>dopravy</w:t>
      </w:r>
      <w:r w:rsidRPr="00BD7ABC">
        <w:rPr>
          <w:rFonts w:asciiTheme="minorHAnsi" w:hAnsiTheme="minorHAnsi" w:cstheme="minorHAnsi"/>
        </w:rPr>
        <w:t xml:space="preserve"> Slovenskej republiky (ďalej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na obnovu verejných historických a pamiatkovo chránených budov</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5A0F6E11"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00F16DEF">
        <w:rPr>
          <w:rFonts w:asciiTheme="minorHAnsi" w:hAnsiTheme="minorHAnsi" w:cstheme="minorHAnsi"/>
        </w:rPr>
        <w:t>o</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6555BFC4" w14:textId="77777777" w:rsidR="00B96CA2" w:rsidRPr="00BD7ABC" w:rsidRDefault="00B96CA2" w:rsidP="007E632E">
      <w:pPr>
        <w:pStyle w:val="Odsekzoznamu"/>
        <w:tabs>
          <w:tab w:val="left" w:pos="0"/>
        </w:tabs>
        <w:ind w:left="0"/>
        <w:contextualSpacing/>
        <w:jc w:val="both"/>
        <w:rPr>
          <w:rFonts w:asciiTheme="minorHAnsi" w:hAnsiTheme="minorHAnsi" w:cstheme="minorHAnsi"/>
        </w:rPr>
      </w:pP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36B3B1AC"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096F2D">
        <w:rPr>
          <w:rFonts w:asciiTheme="minorHAnsi" w:hAnsiTheme="minorHAnsi" w:cstheme="minorHAnsi"/>
          <w:sz w:val="22"/>
          <w:szCs w:val="22"/>
        </w:rPr>
        <w:t xml:space="preserve">Domov dôchodcov a domov sociálnych služieb, Kremnica - </w:t>
      </w:r>
      <w:r w:rsidR="003327E7" w:rsidRPr="003327E7">
        <w:rPr>
          <w:rFonts w:asciiTheme="minorHAnsi" w:hAnsiTheme="minorHAnsi" w:cstheme="minorHAnsi"/>
          <w:sz w:val="22"/>
          <w:szCs w:val="22"/>
        </w:rPr>
        <w:t xml:space="preserve">zníženie energetickej náročnosti objektu </w:t>
      </w:r>
    </w:p>
    <w:p w14:paraId="44858FDE" w14:textId="0D5675F9" w:rsidR="003B6D9B" w:rsidRDefault="001E66FD" w:rsidP="00CE2331">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096F2D">
        <w:rPr>
          <w:rFonts w:asciiTheme="minorHAnsi" w:hAnsiTheme="minorHAnsi" w:cstheme="minorHAnsi"/>
          <w:sz w:val="22"/>
          <w:szCs w:val="22"/>
        </w:rPr>
        <w:t>Bystrická ulica 447/25, 967 01 Kremnica,</w:t>
      </w:r>
      <w:r w:rsidR="000923F7">
        <w:rPr>
          <w:rFonts w:asciiTheme="minorHAnsi" w:hAnsiTheme="minorHAnsi" w:cstheme="minorHAnsi"/>
          <w:sz w:val="22"/>
          <w:szCs w:val="22"/>
        </w:rPr>
        <w:t xml:space="preserve"> </w:t>
      </w:r>
      <w:r w:rsidR="007801E6">
        <w:rPr>
          <w:rFonts w:asciiTheme="minorHAnsi" w:hAnsiTheme="minorHAnsi" w:cstheme="minorHAnsi"/>
          <w:sz w:val="22"/>
          <w:szCs w:val="22"/>
        </w:rPr>
        <w:t xml:space="preserve">stavba – budova so súpisným číslom </w:t>
      </w:r>
      <w:r w:rsidR="00096F2D">
        <w:rPr>
          <w:rFonts w:asciiTheme="minorHAnsi" w:hAnsiTheme="minorHAnsi" w:cstheme="minorHAnsi"/>
          <w:sz w:val="22"/>
          <w:szCs w:val="22"/>
        </w:rPr>
        <w:t>447</w:t>
      </w:r>
      <w:r w:rsidR="007801E6">
        <w:rPr>
          <w:rFonts w:asciiTheme="minorHAnsi" w:hAnsiTheme="minorHAnsi" w:cstheme="minorHAnsi"/>
          <w:sz w:val="22"/>
          <w:szCs w:val="22"/>
        </w:rPr>
        <w:t>, nachádzajúca sa na pozemku</w:t>
      </w:r>
      <w:r w:rsidR="0019582E">
        <w:rPr>
          <w:rFonts w:asciiTheme="minorHAnsi" w:hAnsiTheme="minorHAnsi" w:cstheme="minorHAnsi"/>
          <w:sz w:val="22"/>
          <w:szCs w:val="22"/>
        </w:rPr>
        <w:t xml:space="preserve"> umiestnenom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w:t>
      </w:r>
      <w:r w:rsidR="00096F2D">
        <w:rPr>
          <w:rFonts w:asciiTheme="minorHAnsi" w:hAnsiTheme="minorHAnsi" w:cstheme="minorHAnsi"/>
          <w:sz w:val="22"/>
          <w:szCs w:val="22"/>
        </w:rPr>
        <w:t>627/1</w:t>
      </w:r>
      <w:r w:rsidR="00050DF7">
        <w:rPr>
          <w:rFonts w:asciiTheme="minorHAnsi" w:hAnsiTheme="minorHAnsi" w:cstheme="minorHAnsi"/>
          <w:sz w:val="22"/>
          <w:szCs w:val="22"/>
        </w:rPr>
        <w:t xml:space="preserve">o výmere </w:t>
      </w:r>
      <w:r w:rsidR="00096F2D">
        <w:rPr>
          <w:rFonts w:asciiTheme="minorHAnsi" w:hAnsiTheme="minorHAnsi" w:cstheme="minorHAnsi"/>
          <w:sz w:val="22"/>
          <w:szCs w:val="22"/>
        </w:rPr>
        <w:t>652</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zapísaná na LV č. </w:t>
      </w:r>
      <w:r w:rsidR="00096F2D">
        <w:rPr>
          <w:rFonts w:asciiTheme="minorHAnsi" w:hAnsiTheme="minorHAnsi" w:cstheme="minorHAnsi"/>
          <w:sz w:val="22"/>
          <w:szCs w:val="22"/>
        </w:rPr>
        <w:t>1101</w:t>
      </w:r>
      <w:r w:rsidR="000D0BFF">
        <w:rPr>
          <w:rFonts w:asciiTheme="minorHAnsi" w:hAnsiTheme="minorHAnsi" w:cstheme="minorHAnsi"/>
          <w:sz w:val="22"/>
          <w:szCs w:val="22"/>
        </w:rPr>
        <w:t xml:space="preserve"> vedenom Okresným úradom </w:t>
      </w:r>
      <w:r w:rsidR="00096F2D">
        <w:rPr>
          <w:rFonts w:asciiTheme="minorHAnsi" w:hAnsiTheme="minorHAnsi" w:cstheme="minorHAnsi"/>
          <w:sz w:val="22"/>
          <w:szCs w:val="22"/>
        </w:rPr>
        <w:t>Žiar nad Hronom</w:t>
      </w:r>
      <w:r w:rsidR="000D0BFF">
        <w:rPr>
          <w:rFonts w:asciiTheme="minorHAnsi" w:hAnsiTheme="minorHAnsi" w:cstheme="minorHAnsi"/>
          <w:sz w:val="22"/>
          <w:szCs w:val="22"/>
        </w:rPr>
        <w:t>, katastrálnym odborom pre</w:t>
      </w:r>
      <w:r w:rsidR="00CE2331">
        <w:rPr>
          <w:rFonts w:asciiTheme="minorHAnsi" w:hAnsiTheme="minorHAnsi" w:cstheme="minorHAnsi"/>
          <w:sz w:val="22"/>
          <w:szCs w:val="22"/>
        </w:rPr>
        <w:t xml:space="preserve"> okres </w:t>
      </w:r>
      <w:r w:rsidR="007552E2">
        <w:rPr>
          <w:rFonts w:asciiTheme="minorHAnsi" w:hAnsiTheme="minorHAnsi" w:cstheme="minorHAnsi"/>
          <w:sz w:val="22"/>
          <w:szCs w:val="22"/>
        </w:rPr>
        <w:t>Žiar nad Hronom</w:t>
      </w:r>
      <w:r w:rsidR="00CE2331">
        <w:rPr>
          <w:rFonts w:asciiTheme="minorHAnsi" w:hAnsiTheme="minorHAnsi" w:cstheme="minorHAnsi"/>
          <w:sz w:val="22"/>
          <w:szCs w:val="22"/>
        </w:rPr>
        <w:t>,</w:t>
      </w:r>
      <w:r w:rsidR="000D0BFF">
        <w:rPr>
          <w:rFonts w:asciiTheme="minorHAnsi" w:hAnsiTheme="minorHAnsi" w:cstheme="minorHAnsi"/>
          <w:sz w:val="22"/>
          <w:szCs w:val="22"/>
        </w:rPr>
        <w:t xml:space="preserve"> obec </w:t>
      </w:r>
      <w:r w:rsidR="00096F2D">
        <w:rPr>
          <w:rFonts w:asciiTheme="minorHAnsi" w:hAnsiTheme="minorHAnsi" w:cstheme="minorHAnsi"/>
          <w:sz w:val="22"/>
          <w:szCs w:val="22"/>
        </w:rPr>
        <w:t>Kremnica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katastrálne územie </w:t>
      </w:r>
      <w:r w:rsidR="00096F2D">
        <w:rPr>
          <w:rFonts w:asciiTheme="minorHAnsi" w:hAnsiTheme="minorHAnsi" w:cstheme="minorHAnsi"/>
          <w:sz w:val="22"/>
          <w:szCs w:val="22"/>
        </w:rPr>
        <w:t>Kremnica</w:t>
      </w:r>
      <w:r w:rsidR="007108A3">
        <w:rPr>
          <w:rFonts w:asciiTheme="minorHAnsi" w:hAnsiTheme="minorHAnsi" w:cstheme="minorHAnsi"/>
          <w:sz w:val="22"/>
          <w:szCs w:val="22"/>
        </w:rPr>
        <w:t xml:space="preserve"> </w:t>
      </w:r>
    </w:p>
    <w:p w14:paraId="1876F2CD" w14:textId="227A2FB9"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r w:rsidR="000D0BFF">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6D86FD1E"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7552E2">
        <w:rPr>
          <w:rFonts w:asciiTheme="minorHAnsi" w:hAnsiTheme="minorHAnsi" w:cstheme="minorHAnsi"/>
          <w:sz w:val="22"/>
          <w:szCs w:val="22"/>
        </w:rPr>
        <w:t xml:space="preserve">Domov dôchodcov a domov sociálnych služieb, Kremnica - </w:t>
      </w:r>
      <w:r w:rsidR="009828D0" w:rsidRPr="009828D0">
        <w:rPr>
          <w:rFonts w:asciiTheme="minorHAnsi" w:hAnsiTheme="minorHAnsi" w:cstheme="minorHAnsi"/>
          <w:color w:val="auto"/>
          <w:sz w:val="22"/>
          <w:szCs w:val="22"/>
          <w:lang w:eastAsia="cs-CZ"/>
        </w:rPr>
        <w:t xml:space="preserve">zníženie energetickej náročnosti objektu </w:t>
      </w:r>
      <w:r>
        <w:rPr>
          <w:rFonts w:asciiTheme="minorHAnsi" w:hAnsiTheme="minorHAnsi" w:cstheme="minorHAnsi"/>
          <w:sz w:val="22"/>
          <w:szCs w:val="22"/>
          <w:lang w:eastAsia="cs-CZ"/>
        </w:rPr>
        <w:t xml:space="preserve">vyhotovenou projektantom </w:t>
      </w:r>
      <w:r w:rsidR="007552E2">
        <w:rPr>
          <w:rFonts w:asciiTheme="minorHAnsi" w:hAnsiTheme="minorHAnsi" w:cstheme="minorHAnsi"/>
          <w:sz w:val="22"/>
          <w:szCs w:val="22"/>
          <w:lang w:eastAsia="cs-CZ"/>
        </w:rPr>
        <w:t>Ing. Viliam Michálek, PhD., Školská 525/24, 013 24 Strečno, IČO: 50 272 616, zapísaný v Živnostenskom registri Okresného úradu Žilina, registrácia č. 580-57822</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545B9FD3"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OVaŽP2023/00689/010625, vydané mestom Kremnica dňa 20.07.2023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38EC6084"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povolení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32FB031E"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9828D0">
        <w:rPr>
          <w:rFonts w:asciiTheme="minorHAnsi" w:hAnsiTheme="minorHAnsi" w:cstheme="minorHAnsi"/>
          <w:b/>
          <w:bCs/>
          <w:color w:val="auto"/>
          <w:sz w:val="22"/>
          <w:szCs w:val="22"/>
        </w:rPr>
        <w:t xml:space="preserve">do </w:t>
      </w:r>
      <w:r w:rsidR="009B2AA3" w:rsidRPr="00367B6D">
        <w:rPr>
          <w:rFonts w:asciiTheme="minorHAnsi" w:hAnsiTheme="minorHAnsi" w:cstheme="minorHAnsi"/>
          <w:b/>
          <w:bCs/>
          <w:color w:val="auto"/>
          <w:sz w:val="22"/>
          <w:szCs w:val="22"/>
        </w:rPr>
        <w:t>250</w:t>
      </w:r>
      <w:r w:rsidRPr="00367B6D">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66E10BDE"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riaditel@zsspodskalkou.sk</w:t>
      </w:r>
      <w:r w:rsidR="00367B6D">
        <w:rPr>
          <w:rFonts w:asciiTheme="minorHAnsi" w:hAnsiTheme="minorHAnsi" w:cstheme="minorHAnsi"/>
          <w:color w:val="auto"/>
          <w:sz w:val="22"/>
          <w:szCs w:val="22"/>
        </w:rPr>
        <w:t>,</w:t>
      </w:r>
      <w:hyperlink r:id="rId11" w:history="1"/>
      <w:r w:rsidR="00A5276F" w:rsidRPr="00A5276F">
        <w:rPr>
          <w:rFonts w:asciiTheme="minorHAnsi" w:hAnsiTheme="minorHAnsi" w:cstheme="minorHAnsi"/>
          <w:color w:val="auto"/>
          <w:sz w:val="22"/>
          <w:szCs w:val="22"/>
        </w:rPr>
        <w:t xml:space="preserve"> </w:t>
      </w:r>
      <w:hyperlink r:id="rId12" w:history="1">
        <w:r w:rsidR="00367B6D" w:rsidRPr="00A52F9F">
          <w:rPr>
            <w:rStyle w:val="Hypertextovprepojenie"/>
            <w:rFonts w:asciiTheme="minorHAnsi" w:hAnsiTheme="minorHAnsi" w:cstheme="minorHAnsi"/>
            <w:sz w:val="22"/>
            <w:szCs w:val="22"/>
          </w:rPr>
          <w:t>peter.misura@bbsk.sk</w:t>
        </w:r>
      </w:hyperlink>
      <w:r w:rsidR="00367B6D">
        <w:rPr>
          <w:rFonts w:asciiTheme="minorHAnsi" w:hAnsiTheme="minorHAnsi" w:cstheme="minorHAnsi"/>
          <w:color w:val="auto"/>
          <w:sz w:val="22"/>
          <w:szCs w:val="22"/>
        </w:rPr>
        <w:t>, petra.hrubjakova@bbsk.sk</w:t>
      </w:r>
      <w:r>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CF17A0C" w:rsidR="001E66FD" w:rsidRPr="00ED244E" w:rsidRDefault="001E66FD" w:rsidP="001D7E9D">
      <w:pPr>
        <w:pStyle w:val="Odsekzoznamu"/>
        <w:numPr>
          <w:ilvl w:val="0"/>
          <w:numId w:val="6"/>
        </w:numPr>
        <w:tabs>
          <w:tab w:val="left" w:pos="0"/>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faktúry za vykonané dodávky a práce na diele v zmysle tejto </w:t>
      </w:r>
      <w:r w:rsidR="00ED244E">
        <w:rPr>
          <w:rFonts w:asciiTheme="minorHAnsi" w:hAnsiTheme="minorHAnsi" w:cstheme="minorHAnsi"/>
          <w:color w:val="000000"/>
        </w:rPr>
        <w:t xml:space="preserve"> </w:t>
      </w:r>
      <w:r w:rsidRPr="00ED244E">
        <w:rPr>
          <w:rFonts w:asciiTheme="minorHAnsi" w:hAnsiTheme="minorHAnsi" w:cstheme="minorHAnsi"/>
          <w:color w:val="000000"/>
        </w:rPr>
        <w:t>Zmluvy maximálne v troch fakturačných celkoch nasledovne:</w:t>
      </w:r>
    </w:p>
    <w:p w14:paraId="57BF19F7" w14:textId="1A2E2ECB"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minimálne 25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maximálne 30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5677A980"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25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30 %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2E0B46C9"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Pr="006F257A">
        <w:rPr>
          <w:rFonts w:asciiTheme="minorHAnsi" w:hAnsiTheme="minorHAnsi" w:cstheme="minorHAnsi"/>
          <w:color w:val="000000"/>
        </w:rPr>
        <w:t xml:space="preserve">40 %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2F93A951"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6478EF76"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 plynovému kondenzačnému kotlu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0D7295C0"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nový plynový kondenzačný kotol spĺňa požiadavky na ekodizajn ohrievačov</w:t>
      </w:r>
    </w:p>
    <w:p w14:paraId="1BBD9260" w14:textId="40969314" w:rsidR="00CE2060" w:rsidRPr="006F257A" w:rsidRDefault="005D0E68" w:rsidP="005D0E68">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703C5F24"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4D19E8" w:rsidRPr="00CB3576">
        <w:rPr>
          <w:rFonts w:asciiTheme="minorHAnsi" w:hAnsiTheme="minorHAnsi" w:cstheme="minorHAnsi"/>
          <w:b/>
          <w:bCs/>
        </w:rPr>
        <w:t>Domov dôchodcov a domov sociálnych služieb, Kremnica – zníiženie energetickej náročnosti objektu</w:t>
      </w:r>
      <w:r w:rsidR="004D19E8" w:rsidRPr="004D19E8">
        <w:rPr>
          <w:rStyle w:val="CharStyle13"/>
          <w:rFonts w:asciiTheme="minorHAnsi" w:hAnsiTheme="minorHAnsi" w:cstheme="minorHAnsi"/>
          <w:b w:val="0"/>
          <w:bCs w:val="0"/>
          <w:shd w:val="clear" w:color="auto" w:fill="auto"/>
        </w:rPr>
        <w:t xml:space="preserve"> </w:t>
      </w:r>
    </w:p>
    <w:p w14:paraId="6007791B" w14:textId="1D78775F" w:rsidR="00E003C6" w:rsidRPr="00CB3576" w:rsidRDefault="001E4897" w:rsidP="00102848">
      <w:pPr>
        <w:spacing w:after="240" w:line="240" w:lineRule="auto"/>
      </w:pPr>
      <w:r w:rsidRPr="004D19E8">
        <w:rPr>
          <w:rFonts w:cstheme="minorHAnsi"/>
        </w:rPr>
        <w:t xml:space="preserve">Kód </w:t>
      </w:r>
      <w:proofErr w:type="spellStart"/>
      <w:r w:rsidR="00E003C6" w:rsidRPr="004D19E8">
        <w:rPr>
          <w:rFonts w:cstheme="minorHAnsi"/>
        </w:rPr>
        <w:t>ŽoPPM</w:t>
      </w:r>
      <w:proofErr w:type="spellEnd"/>
      <w:r w:rsidR="00E003C6" w:rsidRPr="004D19E8">
        <w:rPr>
          <w:rFonts w:cstheme="minorHAnsi"/>
        </w:rPr>
        <w:t xml:space="preserve">: </w:t>
      </w:r>
      <w:r w:rsidR="00E003C6" w:rsidRPr="004D19E8">
        <w:rPr>
          <w:rFonts w:cstheme="minorHAnsi"/>
        </w:rPr>
        <w:tab/>
      </w:r>
      <w:r w:rsidR="00E003C6" w:rsidRPr="004D19E8">
        <w:rPr>
          <w:rFonts w:cstheme="minorHAnsi"/>
        </w:rPr>
        <w:tab/>
      </w:r>
      <w:r w:rsidR="00E003C6" w:rsidRPr="004D19E8">
        <w:rPr>
          <w:rFonts w:cstheme="minorHAnsi"/>
        </w:rPr>
        <w:tab/>
      </w:r>
      <w:r w:rsidR="00E003C6" w:rsidRPr="006F257A">
        <w:t>02I02 – 29 – V01/</w:t>
      </w:r>
      <w:r w:rsidR="00F91C65" w:rsidRPr="006F257A">
        <w:t xml:space="preserve">244 </w:t>
      </w:r>
    </w:p>
    <w:p w14:paraId="0BCC54CB" w14:textId="42B34FF3" w:rsidR="001E66FD" w:rsidRDefault="000B5786" w:rsidP="00F91C65">
      <w:pPr>
        <w:spacing w:after="240" w:line="240" w:lineRule="auto"/>
        <w:rPr>
          <w:rFonts w:cstheme="minorHAnsi"/>
          <w:color w:val="000000"/>
        </w:rPr>
      </w:pPr>
      <w:r w:rsidRPr="00CB3576">
        <w:t xml:space="preserve">Identifikátor: </w:t>
      </w:r>
      <w:r w:rsidRPr="00CB3576">
        <w:tab/>
      </w:r>
      <w:r w:rsidRPr="00CB3576">
        <w:tab/>
      </w:r>
      <w:r w:rsidRPr="00CB3576">
        <w:tab/>
      </w:r>
      <w:r w:rsidR="00F91C65">
        <w:t xml:space="preserve">2302 – SSZ </w:t>
      </w:r>
      <w:r w:rsidR="00D52B9D">
        <w:rPr>
          <w:rFonts w:cstheme="minorHAnsi"/>
        </w:rPr>
        <w:t> </w:t>
      </w:r>
      <w:r w:rsidR="001A571B">
        <w:rPr>
          <w:rFonts w:cstheme="minorHAnsi"/>
        </w:rPr>
        <w:t xml:space="preserve">Ak </w:t>
      </w:r>
      <w:r w:rsidR="001E66FD">
        <w:rPr>
          <w:rFonts w:cstheme="minorHAnsi"/>
        </w:rPr>
        <w:t xml:space="preserve">faktúra nebude obsahovať </w:t>
      </w:r>
      <w:r w:rsidR="001A571B">
        <w:rPr>
          <w:rFonts w:cstheme="minorHAnsi"/>
        </w:rPr>
        <w:t xml:space="preserve">údaje, náležitosti alebo prílohy  dohodnuté </w:t>
      </w:r>
      <w:r w:rsidR="001E66FD">
        <w:rPr>
          <w:rFonts w:cstheme="minorHAnsi"/>
        </w:rPr>
        <w:t>v</w:t>
      </w:r>
      <w:r w:rsidR="00D52B9D">
        <w:rPr>
          <w:rFonts w:cstheme="minorHAnsi"/>
        </w:rPr>
        <w:t> </w:t>
      </w:r>
      <w:r w:rsidR="001E66FD">
        <w:rPr>
          <w:rFonts w:cstheme="minorHAnsi"/>
        </w:rPr>
        <w:t>tejto Zmluve, objednávateľ bude oprávnený takto vystavenú faktúru vrátiť zhotoviteľovi na</w:t>
      </w:r>
      <w:r w:rsidR="00B74BE0">
        <w:rPr>
          <w:rFonts w:cstheme="minorHAnsi"/>
        </w:rPr>
        <w:t xml:space="preserve"> opravu alebo</w:t>
      </w:r>
      <w:r w:rsidR="001E66FD">
        <w:rPr>
          <w:rFonts w:cstheme="minorHAnsi"/>
        </w:rPr>
        <w:t xml:space="preserve"> doplnenie. V</w:t>
      </w:r>
      <w:r w:rsidR="00D52B9D">
        <w:rPr>
          <w:rFonts w:cstheme="minorHAnsi"/>
        </w:rPr>
        <w:t> </w:t>
      </w:r>
      <w:r w:rsidR="001E66FD">
        <w:rPr>
          <w:rFonts w:cstheme="minorHAnsi"/>
        </w:rPr>
        <w:t xml:space="preserve">takom prípade začne lehota splatnosti </w:t>
      </w:r>
      <w:r w:rsidR="00D52B9D">
        <w:rPr>
          <w:rFonts w:cstheme="minorHAnsi"/>
        </w:rPr>
        <w:t xml:space="preserve">faktúry </w:t>
      </w:r>
      <w:r w:rsidR="001E66FD">
        <w:rPr>
          <w:rFonts w:cstheme="minorHAnsi"/>
        </w:rPr>
        <w:t xml:space="preserve">plynúť </w:t>
      </w:r>
      <w:r w:rsidR="00B74BE0">
        <w:rPr>
          <w:rFonts w:cstheme="minorHAnsi"/>
        </w:rPr>
        <w:t xml:space="preserve">až odo dňa doručenia </w:t>
      </w:r>
      <w:r w:rsidR="001E66FD">
        <w:rPr>
          <w:rFonts w:cstheme="minorHAnsi"/>
        </w:rPr>
        <w:t xml:space="preserve">opravenej faktúry objednávateľovi. </w:t>
      </w:r>
    </w:p>
    <w:p w14:paraId="2B7ABFFB" w14:textId="403FD6B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53D94BFC"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5D44B95C"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Prlílohe č. 6 (</w:t>
      </w:r>
      <w:hyperlink r:id="rId13"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Výzvy Ministerstva dopravy a výstavby Slovenskej republiky: Výzva č. 1 na predkladanie žiadostí o poskytnutie prostriedkov mechanizmu (ďalej len výzvy na predkladanie ŽoPPM) na podporu obnovy a odolnosti na obnovu verejných historických a pamiatkovo chránených budov (</w:t>
      </w:r>
      <w:hyperlink r:id="rId14" w:history="1">
        <w:r>
          <w:rPr>
            <w:rStyle w:val="Hypertextovprepojenie"/>
            <w:rFonts w:asciiTheme="minorHAnsi" w:hAnsiTheme="minorHAnsi" w:cstheme="minorHAnsi"/>
          </w:rPr>
          <w:t>https://www.mindop.sk/ministerstvo-1/zalezitosti-eu-a-medzinarodnych-vztahov-14/fondy-eu/plan-obnovy/obnova-budov-54280</w:t>
        </w:r>
      </w:hyperlink>
      <w:r>
        <w:rPr>
          <w:rFonts w:asciiTheme="minorHAnsi" w:hAnsiTheme="minorHAnsi" w:cstheme="minorHAnsi"/>
        </w:rPr>
        <w:t>)</w:t>
      </w:r>
      <w:r w:rsidR="00657FDC">
        <w:rPr>
          <w:rFonts w:asciiTheme="minorHAnsi" w:hAnsiTheme="minorHAnsi" w:cstheme="minorHAnsi"/>
        </w:rPr>
        <w:t>.</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07581C5B"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1E523D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AE22B64"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19DAA191" w:rsidR="001E66FD" w:rsidRDefault="00873A67"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9B1308" w:rsidRPr="009B1308">
        <w:rPr>
          <w:rFonts w:asciiTheme="minorHAnsi" w:hAnsiTheme="minorHAnsi" w:cstheme="minorHAnsi"/>
          <w:b/>
          <w:bCs/>
          <w:color w:val="auto"/>
          <w:sz w:val="22"/>
          <w:szCs w:val="22"/>
        </w:rPr>
        <w:t>60%</w:t>
      </w:r>
      <w:r w:rsidR="0036019B" w:rsidRPr="009B1308">
        <w:rPr>
          <w:rFonts w:asciiTheme="minorHAnsi" w:hAnsiTheme="minorHAnsi" w:cstheme="minorHAnsi"/>
          <w:b/>
          <w:bCs/>
          <w:color w:val="auto"/>
          <w:sz w:val="22"/>
          <w:szCs w:val="22"/>
        </w:rPr>
        <w:t xml:space="preserve"> ceny za dielo bez DPH</w:t>
      </w:r>
      <w:r w:rsidR="0036019B">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6402176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r w:rsidR="00CB3576" w:rsidRPr="00CB3576">
        <w:rPr>
          <w:rFonts w:asciiTheme="minorHAnsi" w:hAnsiTheme="minorHAnsi"/>
        </w:rPr>
        <w:t>riaditel@</w:t>
      </w:r>
      <w:r w:rsidR="00CE2060">
        <w:rPr>
          <w:rFonts w:asciiTheme="minorHAnsi" w:hAnsiTheme="minorHAnsi"/>
        </w:rPr>
        <w:t>zsspodskalkou</w:t>
      </w:r>
      <w:r w:rsidR="00CB3576" w:rsidRPr="00CB3576">
        <w:rPr>
          <w:rFonts w:asciiTheme="minorHAnsi" w:hAnsiTheme="minorHAnsi"/>
        </w:rPr>
        <w:t>.sk</w:t>
      </w:r>
      <w:r w:rsidR="00CB3576">
        <w:rPr>
          <w:rFonts w:asciiTheme="minorHAnsi" w:hAnsiTheme="minorHAnsi"/>
        </w:rPr>
        <w:t>,</w:t>
      </w:r>
      <w:r w:rsidR="00453328" w:rsidRPr="00453328">
        <w:rPr>
          <w:rFonts w:asciiTheme="minorHAnsi" w:hAnsiTheme="minorHAnsi"/>
        </w:rPr>
        <w:t xml:space="preserve"> </w:t>
      </w:r>
      <w:hyperlink r:id="rId15" w:history="1">
        <w:r w:rsidR="00CB3576" w:rsidRPr="00A52F9F">
          <w:rPr>
            <w:rStyle w:val="Hypertextovprepojenie"/>
            <w:rFonts w:asciiTheme="minorHAnsi" w:hAnsiTheme="minorHAnsi"/>
          </w:rPr>
          <w:t>peter.misura@bbsk.sk</w:t>
        </w:r>
      </w:hyperlink>
      <w:r w:rsidR="00CB3576">
        <w:rPr>
          <w:rFonts w:asciiTheme="minorHAnsi" w:hAnsiTheme="minorHAnsi"/>
        </w:rPr>
        <w:t>, petra.hrubjakova@bbsk.sk</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zásielky, najneskôr však uplynutím 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6B76FFBC"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9B1308" w:rsidRPr="009B1308">
        <w:rPr>
          <w:rFonts w:ascii="Calibri" w:hAnsi="Calibri" w:cs="Calibri"/>
          <w:b/>
          <w:bCs/>
          <w:lang w:eastAsia="cs-CZ"/>
        </w:rPr>
        <w:t>22.11.2024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1AE84" w14:textId="77777777" w:rsidR="007A2B79" w:rsidRDefault="007A2B79" w:rsidP="00D81E0A">
      <w:pPr>
        <w:spacing w:after="0" w:line="240" w:lineRule="auto"/>
      </w:pPr>
      <w:r>
        <w:separator/>
      </w:r>
    </w:p>
  </w:endnote>
  <w:endnote w:type="continuationSeparator" w:id="0">
    <w:p w14:paraId="2B7EC319" w14:textId="77777777" w:rsidR="007A2B79" w:rsidRDefault="007A2B7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94EA" w14:textId="77777777" w:rsidR="007A2B79" w:rsidRDefault="007A2B79" w:rsidP="00D81E0A">
      <w:pPr>
        <w:spacing w:after="0" w:line="240" w:lineRule="auto"/>
      </w:pPr>
      <w:r>
        <w:separator/>
      </w:r>
    </w:p>
  </w:footnote>
  <w:footnote w:type="continuationSeparator" w:id="0">
    <w:p w14:paraId="150ED53B" w14:textId="77777777" w:rsidR="007A2B79" w:rsidRDefault="007A2B7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1006B4"/>
    <w:rsid w:val="00102848"/>
    <w:rsid w:val="00102A06"/>
    <w:rsid w:val="00112476"/>
    <w:rsid w:val="00117E33"/>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79D7"/>
    <w:rsid w:val="001C0D06"/>
    <w:rsid w:val="001C2B0C"/>
    <w:rsid w:val="001C324F"/>
    <w:rsid w:val="001C6177"/>
    <w:rsid w:val="001C7477"/>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23A52"/>
    <w:rsid w:val="00224052"/>
    <w:rsid w:val="00231942"/>
    <w:rsid w:val="00231959"/>
    <w:rsid w:val="002419BE"/>
    <w:rsid w:val="00244404"/>
    <w:rsid w:val="0024461E"/>
    <w:rsid w:val="00245B60"/>
    <w:rsid w:val="00253689"/>
    <w:rsid w:val="00255DCF"/>
    <w:rsid w:val="00257BFB"/>
    <w:rsid w:val="00261AD2"/>
    <w:rsid w:val="00264172"/>
    <w:rsid w:val="00265646"/>
    <w:rsid w:val="00270D3A"/>
    <w:rsid w:val="00273BB4"/>
    <w:rsid w:val="002761D1"/>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6C8"/>
    <w:rsid w:val="00350EB7"/>
    <w:rsid w:val="0035188A"/>
    <w:rsid w:val="00353C57"/>
    <w:rsid w:val="0035638A"/>
    <w:rsid w:val="0036012A"/>
    <w:rsid w:val="0036019B"/>
    <w:rsid w:val="003622D1"/>
    <w:rsid w:val="00363765"/>
    <w:rsid w:val="00363804"/>
    <w:rsid w:val="00365392"/>
    <w:rsid w:val="003653E5"/>
    <w:rsid w:val="00367B6D"/>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06BD6"/>
    <w:rsid w:val="00514E54"/>
    <w:rsid w:val="00515217"/>
    <w:rsid w:val="00517832"/>
    <w:rsid w:val="005229F8"/>
    <w:rsid w:val="00524B5A"/>
    <w:rsid w:val="00526B55"/>
    <w:rsid w:val="0053174B"/>
    <w:rsid w:val="0053576F"/>
    <w:rsid w:val="00543734"/>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A1BB2"/>
    <w:rsid w:val="005A1F23"/>
    <w:rsid w:val="005A4366"/>
    <w:rsid w:val="005A6067"/>
    <w:rsid w:val="005B1760"/>
    <w:rsid w:val="005B5ADB"/>
    <w:rsid w:val="005B6FCA"/>
    <w:rsid w:val="005B7A0E"/>
    <w:rsid w:val="005B7C6D"/>
    <w:rsid w:val="005C1622"/>
    <w:rsid w:val="005C501A"/>
    <w:rsid w:val="005D0E68"/>
    <w:rsid w:val="005D20F5"/>
    <w:rsid w:val="005D30CE"/>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3F5C"/>
    <w:rsid w:val="00617A71"/>
    <w:rsid w:val="00622D1D"/>
    <w:rsid w:val="006232C4"/>
    <w:rsid w:val="00623329"/>
    <w:rsid w:val="00626F11"/>
    <w:rsid w:val="006312E4"/>
    <w:rsid w:val="00633AB4"/>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3817"/>
    <w:rsid w:val="00694420"/>
    <w:rsid w:val="0069566F"/>
    <w:rsid w:val="0069602F"/>
    <w:rsid w:val="00697A06"/>
    <w:rsid w:val="006A007C"/>
    <w:rsid w:val="006A1839"/>
    <w:rsid w:val="006A3977"/>
    <w:rsid w:val="006B2F24"/>
    <w:rsid w:val="006B6789"/>
    <w:rsid w:val="006C1E21"/>
    <w:rsid w:val="006C2444"/>
    <w:rsid w:val="006D11A7"/>
    <w:rsid w:val="006D454C"/>
    <w:rsid w:val="006D4ACB"/>
    <w:rsid w:val="006D5756"/>
    <w:rsid w:val="006D7E0D"/>
    <w:rsid w:val="006E1EB5"/>
    <w:rsid w:val="006E339B"/>
    <w:rsid w:val="006F257A"/>
    <w:rsid w:val="006F39E5"/>
    <w:rsid w:val="006F6953"/>
    <w:rsid w:val="006F75FD"/>
    <w:rsid w:val="007018D4"/>
    <w:rsid w:val="007055FD"/>
    <w:rsid w:val="00706EF2"/>
    <w:rsid w:val="007108A3"/>
    <w:rsid w:val="007152A0"/>
    <w:rsid w:val="00715342"/>
    <w:rsid w:val="007153BE"/>
    <w:rsid w:val="00716849"/>
    <w:rsid w:val="00717CB0"/>
    <w:rsid w:val="00724701"/>
    <w:rsid w:val="00725CD7"/>
    <w:rsid w:val="00726B7E"/>
    <w:rsid w:val="0073020D"/>
    <w:rsid w:val="00732205"/>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7F5D"/>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0727"/>
    <w:rsid w:val="0085352C"/>
    <w:rsid w:val="00855CE2"/>
    <w:rsid w:val="008637CA"/>
    <w:rsid w:val="00871348"/>
    <w:rsid w:val="0087191E"/>
    <w:rsid w:val="00873A67"/>
    <w:rsid w:val="00874D38"/>
    <w:rsid w:val="00880C38"/>
    <w:rsid w:val="00880F7E"/>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CAB"/>
    <w:rsid w:val="0099016F"/>
    <w:rsid w:val="00991A73"/>
    <w:rsid w:val="00992BB4"/>
    <w:rsid w:val="00994699"/>
    <w:rsid w:val="00996506"/>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30937"/>
    <w:rsid w:val="00A353BA"/>
    <w:rsid w:val="00A35E4E"/>
    <w:rsid w:val="00A3793B"/>
    <w:rsid w:val="00A44680"/>
    <w:rsid w:val="00A468CB"/>
    <w:rsid w:val="00A5276F"/>
    <w:rsid w:val="00A5391D"/>
    <w:rsid w:val="00A574A6"/>
    <w:rsid w:val="00A65287"/>
    <w:rsid w:val="00A67E3B"/>
    <w:rsid w:val="00A76F3F"/>
    <w:rsid w:val="00A77181"/>
    <w:rsid w:val="00A812B0"/>
    <w:rsid w:val="00A82098"/>
    <w:rsid w:val="00A8601B"/>
    <w:rsid w:val="00A86D3F"/>
    <w:rsid w:val="00A90437"/>
    <w:rsid w:val="00A96BD6"/>
    <w:rsid w:val="00A96DC5"/>
    <w:rsid w:val="00AA0416"/>
    <w:rsid w:val="00AA19B5"/>
    <w:rsid w:val="00AA46AB"/>
    <w:rsid w:val="00AA503E"/>
    <w:rsid w:val="00AA7AE5"/>
    <w:rsid w:val="00AB0B23"/>
    <w:rsid w:val="00AB18FC"/>
    <w:rsid w:val="00AB57C1"/>
    <w:rsid w:val="00AC05AF"/>
    <w:rsid w:val="00AC450F"/>
    <w:rsid w:val="00AC5937"/>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2AA5"/>
    <w:rsid w:val="00B23B3E"/>
    <w:rsid w:val="00B26568"/>
    <w:rsid w:val="00B30F1D"/>
    <w:rsid w:val="00B31473"/>
    <w:rsid w:val="00B35833"/>
    <w:rsid w:val="00B42BF5"/>
    <w:rsid w:val="00B43F06"/>
    <w:rsid w:val="00B476C8"/>
    <w:rsid w:val="00B5500A"/>
    <w:rsid w:val="00B5565A"/>
    <w:rsid w:val="00B55892"/>
    <w:rsid w:val="00B57959"/>
    <w:rsid w:val="00B665D5"/>
    <w:rsid w:val="00B715BB"/>
    <w:rsid w:val="00B74BE0"/>
    <w:rsid w:val="00B817B7"/>
    <w:rsid w:val="00B83483"/>
    <w:rsid w:val="00B85080"/>
    <w:rsid w:val="00B93B30"/>
    <w:rsid w:val="00B96CA2"/>
    <w:rsid w:val="00B978D7"/>
    <w:rsid w:val="00BA2ACB"/>
    <w:rsid w:val="00BA3AD3"/>
    <w:rsid w:val="00BA62FF"/>
    <w:rsid w:val="00BB1F80"/>
    <w:rsid w:val="00BB2E0A"/>
    <w:rsid w:val="00BC101C"/>
    <w:rsid w:val="00BC1E1D"/>
    <w:rsid w:val="00BC1E57"/>
    <w:rsid w:val="00BC2AFF"/>
    <w:rsid w:val="00BC7D30"/>
    <w:rsid w:val="00BD16D3"/>
    <w:rsid w:val="00BD32EA"/>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78B"/>
    <w:rsid w:val="00C75F67"/>
    <w:rsid w:val="00C75FF2"/>
    <w:rsid w:val="00C767EA"/>
    <w:rsid w:val="00C76E82"/>
    <w:rsid w:val="00C77416"/>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2AF1"/>
    <w:rsid w:val="00CD3037"/>
    <w:rsid w:val="00CD744F"/>
    <w:rsid w:val="00CE04E7"/>
    <w:rsid w:val="00CE2060"/>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89D"/>
    <w:rsid w:val="00D72C87"/>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72E1"/>
    <w:rsid w:val="00E447CD"/>
    <w:rsid w:val="00E45CBD"/>
    <w:rsid w:val="00E45D38"/>
    <w:rsid w:val="00E4631E"/>
    <w:rsid w:val="00E549EC"/>
    <w:rsid w:val="00E54B1D"/>
    <w:rsid w:val="00E54DB2"/>
    <w:rsid w:val="00E5504C"/>
    <w:rsid w:val="00E56A00"/>
    <w:rsid w:val="00E56F74"/>
    <w:rsid w:val="00E6091A"/>
    <w:rsid w:val="00E64420"/>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4A2C"/>
    <w:rsid w:val="00ED06A7"/>
    <w:rsid w:val="00ED244E"/>
    <w:rsid w:val="00ED33C5"/>
    <w:rsid w:val="00EF0905"/>
    <w:rsid w:val="00EF136C"/>
    <w:rsid w:val="00EF2D67"/>
    <w:rsid w:val="00EF7439"/>
    <w:rsid w:val="00F00575"/>
    <w:rsid w:val="00F00E35"/>
    <w:rsid w:val="00F010D5"/>
    <w:rsid w:val="00F01EF3"/>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507A7"/>
    <w:rsid w:val="00F53138"/>
    <w:rsid w:val="00F55539"/>
    <w:rsid w:val="00F56B61"/>
    <w:rsid w:val="00F57914"/>
    <w:rsid w:val="00F64EE1"/>
    <w:rsid w:val="00F67446"/>
    <w:rsid w:val="00F727A0"/>
    <w:rsid w:val="00F837A0"/>
    <w:rsid w:val="00F8666F"/>
    <w:rsid w:val="00F91106"/>
    <w:rsid w:val="00F91C65"/>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p.sk/uploads/Pl%C3%A1n%20obnovy/Obnova%20budov/Priloha-6-v-zneni-ozn-3_2003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peter.misura@bbsk.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op.sk/ministerstvo-1/zalezitosti-eu-a-medzinarodnych-vztahov-14/fondy-eu/plan-obnovy/obnova-budov-542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2.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4.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13952</Words>
  <Characters>79530</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5</cp:revision>
  <cp:lastPrinted>2024-05-09T11:20:00Z</cp:lastPrinted>
  <dcterms:created xsi:type="dcterms:W3CDTF">2024-06-24T11:32:00Z</dcterms:created>
  <dcterms:modified xsi:type="dcterms:W3CDTF">2024-06-24T11:52:00Z</dcterms:modified>
</cp:coreProperties>
</file>