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773167" w:rsidRPr="004C09B8" w14:paraId="1942D41D" w14:textId="77777777" w:rsidTr="0008661D">
        <w:trPr>
          <w:trHeight w:val="1302"/>
        </w:trPr>
        <w:tc>
          <w:tcPr>
            <w:tcW w:w="9421" w:type="dxa"/>
            <w:shd w:val="clear" w:color="auto" w:fill="F2F2F2"/>
            <w:tcMar>
              <w:top w:w="113" w:type="dxa"/>
              <w:bottom w:w="113" w:type="dxa"/>
            </w:tcMar>
          </w:tcPr>
          <w:p w14:paraId="71D87D10" w14:textId="77777777" w:rsidR="00773167" w:rsidRPr="00073D09" w:rsidRDefault="00773167" w:rsidP="003168CC">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773167" w:rsidRPr="004C09B8" w14:paraId="50D20B73" w14:textId="77777777" w:rsidTr="0008661D">
        <w:trPr>
          <w:trHeight w:val="467"/>
        </w:trPr>
        <w:tc>
          <w:tcPr>
            <w:tcW w:w="9421" w:type="dxa"/>
            <w:shd w:val="clear" w:color="auto" w:fill="auto"/>
            <w:tcMar>
              <w:top w:w="113" w:type="dxa"/>
              <w:bottom w:w="113" w:type="dxa"/>
            </w:tcMar>
            <w:vAlign w:val="center"/>
          </w:tcPr>
          <w:p w14:paraId="33D01568" w14:textId="77777777" w:rsidR="00773167" w:rsidRPr="00073D09" w:rsidRDefault="00773167" w:rsidP="003168CC">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Pr="00773167">
              <w:rPr>
                <w:rFonts w:ascii="Arial" w:eastAsia="Times New Roman" w:hAnsi="Arial" w:cs="Arial"/>
                <w:sz w:val="20"/>
                <w:szCs w:val="20"/>
                <w:lang w:eastAsia="cs-CZ"/>
              </w:rPr>
              <w:t>5/2019</w:t>
            </w:r>
          </w:p>
        </w:tc>
      </w:tr>
      <w:tr w:rsidR="00773167" w:rsidRPr="004C09B8" w14:paraId="29AF7242" w14:textId="77777777" w:rsidTr="0008661D">
        <w:trPr>
          <w:trHeight w:val="22"/>
        </w:trPr>
        <w:tc>
          <w:tcPr>
            <w:tcW w:w="9421" w:type="dxa"/>
            <w:shd w:val="clear" w:color="auto" w:fill="auto"/>
            <w:tcMar>
              <w:top w:w="113" w:type="dxa"/>
              <w:bottom w:w="113" w:type="dxa"/>
            </w:tcMar>
          </w:tcPr>
          <w:p w14:paraId="250E1E5C" w14:textId="1E56D43D" w:rsidR="00773167" w:rsidRPr="002978D5" w:rsidRDefault="008F5CE1" w:rsidP="00BD6E5E">
            <w:pPr>
              <w:jc w:val="center"/>
              <w:rPr>
                <w:rFonts w:ascii="Arial" w:eastAsia="Times New Roman" w:hAnsi="Arial" w:cs="Arial"/>
                <w:b/>
                <w:bCs/>
                <w:iCs/>
                <w:sz w:val="20"/>
                <w:szCs w:val="20"/>
                <w:lang w:eastAsia="cs-CZ"/>
              </w:rPr>
            </w:pPr>
            <w:r>
              <w:rPr>
                <w:rFonts w:ascii="Arial" w:eastAsia="Times New Roman" w:hAnsi="Arial" w:cs="Arial"/>
                <w:b/>
                <w:bCs/>
                <w:iCs/>
                <w:sz w:val="20"/>
                <w:szCs w:val="20"/>
                <w:lang w:eastAsia="cs-CZ"/>
              </w:rPr>
              <w:t>Zpracování Lesního hospodářského plánu (LHP) pro LHC Lesy města Znojmo</w:t>
            </w:r>
          </w:p>
        </w:tc>
      </w:tr>
    </w:tbl>
    <w:p w14:paraId="4ABF28B7" w14:textId="77777777" w:rsidR="00773167" w:rsidRDefault="00773167" w:rsidP="00773167"/>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73167" w:rsidRPr="00124110" w14:paraId="67DB0D1D" w14:textId="77777777" w:rsidTr="003168CC">
        <w:tc>
          <w:tcPr>
            <w:tcW w:w="2489" w:type="dxa"/>
            <w:shd w:val="clear" w:color="auto" w:fill="F2F2F2"/>
          </w:tcPr>
          <w:p w14:paraId="2289CD0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1B8C13A9" w14:textId="1DDC198A" w:rsidR="00773167" w:rsidRPr="00EC5092" w:rsidRDefault="00A9778E" w:rsidP="003168CC">
            <w:pPr>
              <w:spacing w:after="0" w:line="240" w:lineRule="auto"/>
              <w:jc w:val="both"/>
              <w:rPr>
                <w:rFonts w:ascii="Arial" w:eastAsia="Times New Roman" w:hAnsi="Arial" w:cs="Arial"/>
                <w:highlight w:val="yellow"/>
                <w:lang w:eastAsia="cs-CZ"/>
              </w:rPr>
            </w:pPr>
            <w:r w:rsidRPr="00A00D7D">
              <w:rPr>
                <w:rFonts w:ascii="Arial" w:eastAsia="Times New Roman" w:hAnsi="Arial" w:cs="Arial"/>
                <w:lang w:eastAsia="cs-CZ"/>
              </w:rPr>
              <w:t>VZ202</w:t>
            </w:r>
            <w:r w:rsidR="005C2C8E">
              <w:rPr>
                <w:rFonts w:ascii="Arial" w:eastAsia="Times New Roman" w:hAnsi="Arial" w:cs="Arial"/>
                <w:lang w:eastAsia="cs-CZ"/>
              </w:rPr>
              <w:t>4-001</w:t>
            </w:r>
          </w:p>
        </w:tc>
      </w:tr>
      <w:tr w:rsidR="00773167" w:rsidRPr="00124110" w14:paraId="4965BD82" w14:textId="77777777" w:rsidTr="003168CC">
        <w:trPr>
          <w:trHeight w:val="348"/>
        </w:trPr>
        <w:tc>
          <w:tcPr>
            <w:tcW w:w="2489" w:type="dxa"/>
            <w:shd w:val="clear" w:color="auto" w:fill="F2F2F2"/>
          </w:tcPr>
          <w:p w14:paraId="5992FFC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bookmarkStart w:id="0" w:name="_Hlk105759404"/>
            <w:r w:rsidRPr="00165665">
              <w:rPr>
                <w:rFonts w:ascii="Arial" w:eastAsia="Times New Roman" w:hAnsi="Arial" w:cs="Arial"/>
                <w:b/>
                <w:lang w:eastAsia="cs-CZ"/>
              </w:rPr>
              <w:t>Název zakázky:</w:t>
            </w:r>
          </w:p>
        </w:tc>
        <w:tc>
          <w:tcPr>
            <w:tcW w:w="6975" w:type="dxa"/>
            <w:vAlign w:val="center"/>
          </w:tcPr>
          <w:p w14:paraId="776A705E" w14:textId="0C762ABC" w:rsidR="00773167" w:rsidRPr="00EC5092" w:rsidRDefault="005C2C8E" w:rsidP="003168C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Zpracování lesního hospodářského plánu (LHP) pro LHC Lesy města Znojmo</w:t>
            </w:r>
          </w:p>
        </w:tc>
      </w:tr>
      <w:bookmarkEnd w:id="0"/>
      <w:tr w:rsidR="00773167" w:rsidRPr="00124110" w14:paraId="6567DD52" w14:textId="77777777" w:rsidTr="003168CC">
        <w:trPr>
          <w:trHeight w:val="492"/>
        </w:trPr>
        <w:tc>
          <w:tcPr>
            <w:tcW w:w="2489" w:type="dxa"/>
            <w:shd w:val="clear" w:color="auto" w:fill="F2F2F2"/>
          </w:tcPr>
          <w:p w14:paraId="5F240BB3"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4E1CC50" w14:textId="47084543" w:rsidR="00773167" w:rsidRPr="008622F6" w:rsidRDefault="0008661D" w:rsidP="0008661D">
            <w:pPr>
              <w:spacing w:after="0" w:line="240" w:lineRule="auto"/>
              <w:jc w:val="both"/>
              <w:rPr>
                <w:rFonts w:ascii="Arial" w:eastAsia="Times New Roman" w:hAnsi="Arial" w:cs="Arial"/>
                <w:highlight w:val="yellow"/>
                <w:lang w:eastAsia="cs-CZ"/>
              </w:rPr>
            </w:pPr>
            <w:r w:rsidRPr="00A9778E">
              <w:rPr>
                <w:rFonts w:ascii="Arial" w:eastAsia="Times New Roman" w:hAnsi="Arial" w:cs="Arial"/>
                <w:lang w:eastAsia="cs-CZ"/>
              </w:rPr>
              <w:t xml:space="preserve">Veřejná zakázka na </w:t>
            </w:r>
            <w:r w:rsidR="005C2C8E">
              <w:rPr>
                <w:rFonts w:ascii="Arial" w:eastAsia="Times New Roman" w:hAnsi="Arial" w:cs="Arial"/>
                <w:lang w:eastAsia="cs-CZ"/>
              </w:rPr>
              <w:t>služby</w:t>
            </w:r>
          </w:p>
        </w:tc>
      </w:tr>
      <w:tr w:rsidR="00773167" w:rsidRPr="00124110" w14:paraId="598437B7" w14:textId="77777777" w:rsidTr="003168CC">
        <w:trPr>
          <w:trHeight w:val="472"/>
        </w:trPr>
        <w:tc>
          <w:tcPr>
            <w:tcW w:w="2489" w:type="dxa"/>
            <w:shd w:val="clear" w:color="auto" w:fill="F2F2F2"/>
          </w:tcPr>
          <w:p w14:paraId="5CA27ED6"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vAlign w:val="center"/>
          </w:tcPr>
          <w:p w14:paraId="60E8AEBB" w14:textId="2CAE740D" w:rsidR="00773167" w:rsidRPr="00EC5092" w:rsidRDefault="005C2C8E" w:rsidP="003168CC">
            <w:pPr>
              <w:spacing w:after="0" w:line="240" w:lineRule="auto"/>
              <w:jc w:val="both"/>
              <w:rPr>
                <w:rFonts w:ascii="Arial" w:eastAsia="Times New Roman" w:hAnsi="Arial" w:cs="Arial"/>
                <w:lang w:eastAsia="cs-CZ"/>
              </w:rPr>
            </w:pPr>
            <w:r>
              <w:rPr>
                <w:rFonts w:ascii="Arial" w:eastAsia="Times New Roman" w:hAnsi="Arial" w:cs="Arial"/>
                <w:lang w:eastAsia="cs-CZ"/>
              </w:rPr>
              <w:t>07/2024</w:t>
            </w:r>
          </w:p>
        </w:tc>
      </w:tr>
      <w:tr w:rsidR="00773167" w:rsidRPr="00124110" w14:paraId="57004452" w14:textId="77777777" w:rsidTr="003168CC">
        <w:trPr>
          <w:trHeight w:val="441"/>
        </w:trPr>
        <w:tc>
          <w:tcPr>
            <w:tcW w:w="2489" w:type="dxa"/>
            <w:shd w:val="clear" w:color="auto" w:fill="F2F2F2"/>
          </w:tcPr>
          <w:p w14:paraId="405A4404"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C1A815F" w14:textId="72E4E94D" w:rsidR="00A00D7D" w:rsidRPr="00A00D7D" w:rsidRDefault="00A00D7D" w:rsidP="00A00D7D">
            <w:pPr>
              <w:spacing w:after="0" w:line="240" w:lineRule="auto"/>
              <w:jc w:val="both"/>
              <w:rPr>
                <w:rFonts w:ascii="Arial" w:eastAsia="Times New Roman" w:hAnsi="Arial" w:cs="Arial"/>
                <w:lang w:eastAsia="cs-CZ"/>
              </w:rPr>
            </w:pPr>
            <w:r w:rsidRPr="00A00D7D">
              <w:rPr>
                <w:rFonts w:ascii="Arial" w:eastAsia="Times New Roman" w:hAnsi="Arial" w:cs="Arial"/>
                <w:lang w:eastAsia="cs-CZ"/>
              </w:rPr>
              <w:t>Městské lesy Znojmo,</w:t>
            </w:r>
            <w:r>
              <w:rPr>
                <w:rFonts w:ascii="Arial" w:eastAsia="Times New Roman" w:hAnsi="Arial" w:cs="Arial"/>
                <w:lang w:eastAsia="cs-CZ"/>
              </w:rPr>
              <w:t xml:space="preserve"> </w:t>
            </w:r>
            <w:r w:rsidRPr="00A00D7D">
              <w:rPr>
                <w:rFonts w:ascii="Arial" w:eastAsia="Times New Roman" w:hAnsi="Arial" w:cs="Arial"/>
                <w:lang w:eastAsia="cs-CZ"/>
              </w:rPr>
              <w:t>příspěvková org.</w:t>
            </w:r>
          </w:p>
          <w:p w14:paraId="61F033CE" w14:textId="39E33D76" w:rsidR="00773167" w:rsidRPr="00EC5092" w:rsidRDefault="00773167" w:rsidP="00A00D7D">
            <w:pPr>
              <w:spacing w:after="0" w:line="240" w:lineRule="auto"/>
              <w:jc w:val="both"/>
              <w:rPr>
                <w:rFonts w:ascii="Arial" w:eastAsia="Times New Roman" w:hAnsi="Arial" w:cs="Arial"/>
                <w:lang w:eastAsia="cs-CZ"/>
              </w:rPr>
            </w:pPr>
          </w:p>
        </w:tc>
      </w:tr>
      <w:tr w:rsidR="00773167" w:rsidRPr="00124110" w14:paraId="1F000E8E" w14:textId="77777777" w:rsidTr="003168CC">
        <w:trPr>
          <w:trHeight w:val="465"/>
        </w:trPr>
        <w:tc>
          <w:tcPr>
            <w:tcW w:w="2489" w:type="dxa"/>
            <w:shd w:val="clear" w:color="auto" w:fill="F2F2F2"/>
          </w:tcPr>
          <w:p w14:paraId="4049D980"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6C29E9ED" w14:textId="4947CE10" w:rsidR="00773167" w:rsidRPr="00EC5092" w:rsidRDefault="00A00D7D" w:rsidP="00A00D7D">
            <w:pPr>
              <w:spacing w:after="0" w:line="240" w:lineRule="auto"/>
              <w:jc w:val="both"/>
              <w:rPr>
                <w:rFonts w:ascii="Arial" w:eastAsia="Times New Roman" w:hAnsi="Arial" w:cs="Arial"/>
                <w:lang w:eastAsia="cs-CZ"/>
              </w:rPr>
            </w:pPr>
            <w:r w:rsidRPr="00A00D7D">
              <w:rPr>
                <w:rFonts w:ascii="Arial" w:eastAsia="Times New Roman" w:hAnsi="Arial" w:cs="Arial"/>
                <w:lang w:eastAsia="cs-CZ"/>
              </w:rPr>
              <w:t>Vídeňská třída 707/25</w:t>
            </w:r>
            <w:r>
              <w:rPr>
                <w:rFonts w:ascii="Arial" w:eastAsia="Times New Roman" w:hAnsi="Arial" w:cs="Arial"/>
                <w:lang w:eastAsia="cs-CZ"/>
              </w:rPr>
              <w:t xml:space="preserve">, </w:t>
            </w:r>
            <w:r w:rsidRPr="00A00D7D">
              <w:rPr>
                <w:rFonts w:ascii="Arial" w:eastAsia="Times New Roman" w:hAnsi="Arial" w:cs="Arial"/>
                <w:lang w:eastAsia="cs-CZ"/>
              </w:rPr>
              <w:t>66902 Znojmo</w:t>
            </w:r>
          </w:p>
        </w:tc>
      </w:tr>
      <w:tr w:rsidR="00773167" w:rsidRPr="00124110" w14:paraId="12432F71" w14:textId="77777777" w:rsidTr="003168CC">
        <w:tc>
          <w:tcPr>
            <w:tcW w:w="2489" w:type="dxa"/>
            <w:shd w:val="clear" w:color="auto" w:fill="F2F2F2"/>
          </w:tcPr>
          <w:p w14:paraId="603B0EF6"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50804B3C" w14:textId="68AB963D" w:rsidR="00050905" w:rsidRPr="00EC5092" w:rsidRDefault="00A00D7D" w:rsidP="00050905">
            <w:pPr>
              <w:spacing w:after="0" w:line="240" w:lineRule="auto"/>
              <w:jc w:val="both"/>
              <w:rPr>
                <w:rFonts w:ascii="Arial" w:eastAsia="Times New Roman" w:hAnsi="Arial" w:cs="Arial"/>
                <w:lang w:eastAsia="cs-CZ"/>
              </w:rPr>
            </w:pPr>
            <w:r w:rsidRPr="00A00D7D">
              <w:rPr>
                <w:rFonts w:ascii="Arial" w:eastAsia="Times New Roman" w:hAnsi="Arial" w:cs="Arial"/>
                <w:lang w:eastAsia="cs-CZ"/>
              </w:rPr>
              <w:t>Ing. Zdeněk Trojan</w:t>
            </w:r>
            <w:r>
              <w:rPr>
                <w:rFonts w:ascii="Arial" w:eastAsia="Times New Roman" w:hAnsi="Arial" w:cs="Arial"/>
                <w:lang w:eastAsia="cs-CZ"/>
              </w:rPr>
              <w:t xml:space="preserve"> – ředitel organizace </w:t>
            </w:r>
          </w:p>
          <w:p w14:paraId="64D31E6D" w14:textId="77777777" w:rsidR="00773167" w:rsidRPr="00EC5092" w:rsidRDefault="00773167" w:rsidP="00050905">
            <w:pPr>
              <w:spacing w:after="0" w:line="240" w:lineRule="auto"/>
              <w:jc w:val="both"/>
              <w:rPr>
                <w:rFonts w:ascii="Arial" w:eastAsia="Times New Roman" w:hAnsi="Arial" w:cs="Arial"/>
                <w:highlight w:val="yellow"/>
                <w:lang w:eastAsia="cs-CZ"/>
              </w:rPr>
            </w:pPr>
          </w:p>
        </w:tc>
      </w:tr>
      <w:tr w:rsidR="00773167" w:rsidRPr="00124110" w14:paraId="7DFCDD25" w14:textId="77777777" w:rsidTr="003168CC">
        <w:trPr>
          <w:trHeight w:val="356"/>
        </w:trPr>
        <w:tc>
          <w:tcPr>
            <w:tcW w:w="2489" w:type="dxa"/>
            <w:shd w:val="clear" w:color="auto" w:fill="F2F2F2"/>
          </w:tcPr>
          <w:p w14:paraId="367FAE7C"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5B5599DF" w14:textId="5A034D1C" w:rsidR="00773167" w:rsidRPr="00EC5092" w:rsidRDefault="00A00D7D" w:rsidP="003168CC">
            <w:pPr>
              <w:spacing w:after="0" w:line="240" w:lineRule="auto"/>
              <w:jc w:val="both"/>
              <w:rPr>
                <w:rFonts w:ascii="Arial" w:eastAsia="Times New Roman" w:hAnsi="Arial" w:cs="Arial"/>
                <w:lang w:eastAsia="cs-CZ"/>
              </w:rPr>
            </w:pPr>
            <w:r w:rsidRPr="00A00D7D">
              <w:rPr>
                <w:rFonts w:ascii="Arial" w:eastAsia="Times New Roman" w:hAnsi="Arial" w:cs="Arial"/>
                <w:lang w:eastAsia="cs-CZ"/>
              </w:rPr>
              <w:t>00839027</w:t>
            </w:r>
          </w:p>
        </w:tc>
      </w:tr>
      <w:tr w:rsidR="00773167" w:rsidRPr="00124110" w14:paraId="2E215586" w14:textId="77777777" w:rsidTr="003168CC">
        <w:trPr>
          <w:trHeight w:val="432"/>
        </w:trPr>
        <w:tc>
          <w:tcPr>
            <w:tcW w:w="2489" w:type="dxa"/>
            <w:shd w:val="clear" w:color="auto" w:fill="F2F2F2"/>
          </w:tcPr>
          <w:p w14:paraId="68BCCC2D"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DF1BE61" w14:textId="09F7AD95" w:rsidR="00773167" w:rsidRPr="00EC5092" w:rsidRDefault="00A00D7D" w:rsidP="003168CC">
            <w:pPr>
              <w:spacing w:after="0" w:line="240" w:lineRule="auto"/>
              <w:jc w:val="both"/>
              <w:rPr>
                <w:rFonts w:ascii="Arial" w:eastAsia="Times New Roman" w:hAnsi="Arial" w:cs="Arial"/>
                <w:lang w:eastAsia="cs-CZ"/>
              </w:rPr>
            </w:pPr>
            <w:r w:rsidRPr="00A00D7D">
              <w:rPr>
                <w:rFonts w:ascii="Arial" w:eastAsia="Times New Roman" w:hAnsi="Arial" w:cs="Arial"/>
                <w:lang w:eastAsia="cs-CZ"/>
              </w:rPr>
              <w:t>CZ00839027</w:t>
            </w:r>
          </w:p>
        </w:tc>
      </w:tr>
      <w:tr w:rsidR="00773167" w:rsidRPr="00124110" w14:paraId="5DB2A2E2" w14:textId="77777777" w:rsidTr="003168CC">
        <w:trPr>
          <w:trHeight w:val="1104"/>
        </w:trPr>
        <w:tc>
          <w:tcPr>
            <w:tcW w:w="2489" w:type="dxa"/>
            <w:shd w:val="clear" w:color="auto" w:fill="F2F2F2"/>
          </w:tcPr>
          <w:p w14:paraId="4FDAB7B1"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1BADBBCD" w14:textId="71EDD950" w:rsidR="00A00D7D" w:rsidRDefault="00A00D7D" w:rsidP="00496167">
            <w:pPr>
              <w:spacing w:after="0" w:line="240" w:lineRule="auto"/>
              <w:jc w:val="both"/>
              <w:rPr>
                <w:rFonts w:ascii="Arial" w:eastAsia="Times New Roman" w:hAnsi="Arial" w:cs="Arial"/>
                <w:lang w:eastAsia="cs-CZ"/>
              </w:rPr>
            </w:pPr>
            <w:r w:rsidRPr="00A00D7D">
              <w:rPr>
                <w:rFonts w:ascii="Arial" w:eastAsia="Times New Roman" w:hAnsi="Arial" w:cs="Arial"/>
                <w:lang w:eastAsia="cs-CZ"/>
              </w:rPr>
              <w:t>Ing. Zdeněk Trojan</w:t>
            </w:r>
            <w:r>
              <w:rPr>
                <w:rFonts w:ascii="Arial" w:eastAsia="Times New Roman" w:hAnsi="Arial" w:cs="Arial"/>
                <w:lang w:eastAsia="cs-CZ"/>
              </w:rPr>
              <w:t xml:space="preserve"> – ředitel organizace</w:t>
            </w:r>
          </w:p>
          <w:p w14:paraId="056690B9" w14:textId="406CAA8A" w:rsidR="00496167" w:rsidRPr="008F5CE1" w:rsidRDefault="00A9778E" w:rsidP="00496167">
            <w:pPr>
              <w:spacing w:after="0" w:line="240" w:lineRule="auto"/>
              <w:jc w:val="both"/>
              <w:rPr>
                <w:rFonts w:ascii="Arial" w:eastAsia="Times New Roman" w:hAnsi="Arial" w:cs="Arial"/>
                <w:highlight w:val="yellow"/>
                <w:lang w:eastAsia="cs-CZ"/>
              </w:rPr>
            </w:pPr>
            <w:r w:rsidRPr="00A9778E">
              <w:rPr>
                <w:rFonts w:ascii="Arial" w:eastAsia="Times New Roman" w:hAnsi="Arial" w:cs="Arial"/>
                <w:lang w:eastAsia="cs-CZ"/>
              </w:rPr>
              <w:t xml:space="preserve">trojan@lesyznojmo.cz </w:t>
            </w:r>
            <w:r>
              <w:rPr>
                <w:rFonts w:ascii="Arial" w:eastAsia="Times New Roman" w:hAnsi="Arial" w:cs="Arial"/>
                <w:lang w:eastAsia="cs-CZ"/>
              </w:rPr>
              <w:t xml:space="preserve">, </w:t>
            </w:r>
            <w:r w:rsidRPr="00A9778E">
              <w:rPr>
                <w:rFonts w:ascii="Arial" w:eastAsia="Times New Roman" w:hAnsi="Arial" w:cs="Arial"/>
                <w:lang w:eastAsia="cs-CZ"/>
              </w:rPr>
              <w:t>+420 775 638 701</w:t>
            </w:r>
          </w:p>
          <w:p w14:paraId="4ACAB5F0" w14:textId="77777777" w:rsidR="00773167" w:rsidRPr="00EC5092" w:rsidRDefault="00496167" w:rsidP="00496167">
            <w:pPr>
              <w:spacing w:after="0" w:line="240" w:lineRule="auto"/>
              <w:jc w:val="both"/>
              <w:rPr>
                <w:rFonts w:ascii="Arial" w:eastAsia="Times New Roman" w:hAnsi="Arial" w:cs="Arial"/>
                <w:highlight w:val="yellow"/>
                <w:lang w:eastAsia="cs-CZ"/>
              </w:rPr>
            </w:pPr>
            <w:r w:rsidRPr="00EC5092">
              <w:rPr>
                <w:rFonts w:ascii="Arial" w:eastAsia="Times New Roman" w:hAnsi="Arial" w:cs="Arial"/>
                <w:lang w:eastAsia="cs-CZ"/>
              </w:rPr>
              <w:t>Dotazy k výběrovému řízení musí být realizovány formou e-mailů na některou z kontaktních osob. Bude na ně poskytnuta odpověď osloveným účastníkům.</w:t>
            </w:r>
          </w:p>
        </w:tc>
      </w:tr>
      <w:tr w:rsidR="00773167" w:rsidRPr="00124110" w14:paraId="379BA170" w14:textId="77777777" w:rsidTr="003168CC">
        <w:trPr>
          <w:trHeight w:val="576"/>
        </w:trPr>
        <w:tc>
          <w:tcPr>
            <w:tcW w:w="2489" w:type="dxa"/>
            <w:shd w:val="clear" w:color="auto" w:fill="F2F2F2"/>
          </w:tcPr>
          <w:p w14:paraId="291FAB1E"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3EF470C5" w14:textId="77777777" w:rsidR="00773167" w:rsidRPr="00EC5092" w:rsidRDefault="00773167" w:rsidP="003168CC">
            <w:pPr>
              <w:pStyle w:val="Default"/>
              <w:jc w:val="both"/>
              <w:rPr>
                <w:sz w:val="22"/>
                <w:szCs w:val="22"/>
                <w:lang w:eastAsia="cs-CZ"/>
              </w:rPr>
            </w:pPr>
            <w:r w:rsidRPr="00EC5092">
              <w:rPr>
                <w:sz w:val="22"/>
                <w:szCs w:val="22"/>
                <w:lang w:eastAsia="cs-CZ"/>
              </w:rPr>
              <w:t xml:space="preserve">Podávání nabídek v rámci tohoto zadávacího řízení probíhá elektronicky prostřednictvím elektronického nástroje JOSEPHINE (dostupného na webové adrese </w:t>
            </w:r>
            <w:hyperlink r:id="rId7" w:history="1">
              <w:r w:rsidRPr="00EC5092">
                <w:rPr>
                  <w:rStyle w:val="Hypertextovodkaz"/>
                  <w:sz w:val="22"/>
                  <w:szCs w:val="22"/>
                </w:rPr>
                <w:t>www.josephine.proebiz.com</w:t>
              </w:r>
            </w:hyperlink>
            <w:r w:rsidRPr="00EC5092">
              <w:rPr>
                <w:sz w:val="22"/>
                <w:szCs w:val="22"/>
              </w:rPr>
              <w:t>)</w:t>
            </w:r>
            <w:r w:rsidRPr="00EC5092">
              <w:rPr>
                <w:sz w:val="22"/>
                <w:szCs w:val="22"/>
                <w:lang w:eastAsia="cs-CZ"/>
              </w:rPr>
              <w:t>,</w:t>
            </w:r>
          </w:p>
          <w:p w14:paraId="42970B5C" w14:textId="061E53C7" w:rsidR="00773167" w:rsidRPr="00EC5092" w:rsidRDefault="00773167" w:rsidP="00EC5092">
            <w:pPr>
              <w:pStyle w:val="Default"/>
              <w:jc w:val="both"/>
              <w:rPr>
                <w:sz w:val="22"/>
                <w:szCs w:val="22"/>
                <w:lang w:eastAsia="cs-CZ"/>
              </w:rPr>
            </w:pPr>
            <w:r w:rsidRPr="00BD6E5E">
              <w:rPr>
                <w:sz w:val="22"/>
                <w:szCs w:val="22"/>
                <w:lang w:eastAsia="cs-CZ"/>
              </w:rPr>
              <w:t>Lhůta pro podání nabídek končí</w:t>
            </w:r>
            <w:r w:rsidR="00EC5092" w:rsidRPr="00BD6E5E">
              <w:rPr>
                <w:sz w:val="22"/>
                <w:szCs w:val="22"/>
                <w:lang w:eastAsia="cs-CZ"/>
              </w:rPr>
              <w:t xml:space="preserve"> </w:t>
            </w:r>
            <w:r w:rsidR="005C2C8E">
              <w:rPr>
                <w:b/>
                <w:bCs/>
                <w:sz w:val="22"/>
                <w:szCs w:val="22"/>
              </w:rPr>
              <w:t>1</w:t>
            </w:r>
            <w:r w:rsidR="009577BC">
              <w:rPr>
                <w:b/>
                <w:bCs/>
                <w:sz w:val="22"/>
                <w:szCs w:val="22"/>
              </w:rPr>
              <w:t>9</w:t>
            </w:r>
            <w:r w:rsidR="005C2C8E">
              <w:rPr>
                <w:b/>
                <w:bCs/>
                <w:sz w:val="22"/>
                <w:szCs w:val="22"/>
              </w:rPr>
              <w:t>.07.2024</w:t>
            </w:r>
            <w:r w:rsidR="00451646" w:rsidRPr="00BB4604">
              <w:rPr>
                <w:b/>
                <w:bCs/>
                <w:sz w:val="22"/>
                <w:szCs w:val="22"/>
              </w:rPr>
              <w:t xml:space="preserve"> do 10:00 hodin</w:t>
            </w:r>
            <w:r w:rsidR="00EC5092">
              <w:rPr>
                <w:sz w:val="22"/>
                <w:szCs w:val="22"/>
                <w:lang w:eastAsia="cs-CZ"/>
              </w:rPr>
              <w:t>.</w:t>
            </w:r>
          </w:p>
        </w:tc>
      </w:tr>
      <w:tr w:rsidR="00773167" w:rsidRPr="00124110" w14:paraId="3FED4CAE" w14:textId="77777777" w:rsidTr="003168CC">
        <w:trPr>
          <w:trHeight w:val="723"/>
        </w:trPr>
        <w:tc>
          <w:tcPr>
            <w:tcW w:w="2489" w:type="dxa"/>
            <w:shd w:val="clear" w:color="auto" w:fill="F2F2F2"/>
          </w:tcPr>
          <w:p w14:paraId="688D176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AD13248" w14:textId="50CA8E0F" w:rsidR="005C2C8E" w:rsidRPr="003901C5" w:rsidRDefault="005C2C8E" w:rsidP="005C2C8E">
            <w:pPr>
              <w:widowControl w:val="0"/>
              <w:spacing w:after="0" w:line="240" w:lineRule="auto"/>
              <w:ind w:right="-119"/>
              <w:jc w:val="both"/>
              <w:rPr>
                <w:rFonts w:ascii="Times New Roman" w:hAnsi="Times New Roman"/>
                <w:sz w:val="24"/>
                <w:szCs w:val="24"/>
              </w:rPr>
            </w:pPr>
            <w:r w:rsidRPr="003901C5">
              <w:rPr>
                <w:rFonts w:ascii="Times New Roman" w:eastAsia="Times New Roman" w:hAnsi="Times New Roman"/>
                <w:sz w:val="24"/>
                <w:szCs w:val="24"/>
              </w:rPr>
              <w:t xml:space="preserve">Předmětem veřejné zakázky je zpracování lesního hospodářského plánu </w:t>
            </w:r>
            <w:r>
              <w:rPr>
                <w:rFonts w:ascii="Times New Roman" w:eastAsia="Times New Roman" w:hAnsi="Times New Roman"/>
                <w:sz w:val="24"/>
                <w:szCs w:val="24"/>
              </w:rPr>
              <w:t xml:space="preserve">(LHP) </w:t>
            </w:r>
            <w:r w:rsidRPr="003901C5">
              <w:rPr>
                <w:rFonts w:ascii="Times New Roman" w:eastAsia="Times New Roman" w:hAnsi="Times New Roman"/>
                <w:sz w:val="24"/>
                <w:szCs w:val="24"/>
              </w:rPr>
              <w:t>ve smyslu § 24 zákona č. 289/1995 Sb., o lesích a o změně a doplnění některých zákonů (lesní zákon), ve znění pozdějších předpisů (dále jen „lesní zákon"). LHP bude dále zpracován dle vyhlášky Ministerstva zemědělství ČR č. 84/1996 Sb., o lesním hospodářském plánování a dle ostatních právně závazných předpisů s předmětem díla souvisejících.</w:t>
            </w:r>
            <w:r w:rsidR="002B54B4">
              <w:rPr>
                <w:rFonts w:ascii="Times New Roman" w:eastAsia="Times New Roman" w:hAnsi="Times New Roman"/>
                <w:sz w:val="24"/>
                <w:szCs w:val="24"/>
              </w:rPr>
              <w:t xml:space="preserve"> Výměra LHC činí 2 560 ha. </w:t>
            </w:r>
          </w:p>
          <w:p w14:paraId="07C8DDB0" w14:textId="7DF9FFA4" w:rsidR="00773167" w:rsidRPr="00EC5092" w:rsidRDefault="00773167" w:rsidP="003168CC">
            <w:pPr>
              <w:pStyle w:val="Default"/>
              <w:jc w:val="both"/>
              <w:rPr>
                <w:sz w:val="22"/>
                <w:szCs w:val="22"/>
                <w:highlight w:val="yellow"/>
              </w:rPr>
            </w:pPr>
          </w:p>
        </w:tc>
      </w:tr>
      <w:tr w:rsidR="00773167" w:rsidRPr="00124110" w14:paraId="62580823" w14:textId="77777777" w:rsidTr="003168CC">
        <w:trPr>
          <w:trHeight w:val="1045"/>
        </w:trPr>
        <w:tc>
          <w:tcPr>
            <w:tcW w:w="2489" w:type="dxa"/>
            <w:shd w:val="clear" w:color="auto" w:fill="F2F2F2"/>
          </w:tcPr>
          <w:p w14:paraId="0DA37B5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49266E08" w14:textId="2E6C9912" w:rsidR="00773167" w:rsidRPr="00C60296" w:rsidRDefault="0008661D" w:rsidP="00627C3C">
            <w:pPr>
              <w:rPr>
                <w:rFonts w:ascii="Arial" w:hAnsi="Arial" w:cs="Arial"/>
                <w:color w:val="0000FF"/>
                <w:u w:val="single"/>
              </w:rPr>
            </w:pPr>
            <w:r w:rsidRPr="00EC5092">
              <w:rPr>
                <w:rFonts w:ascii="Arial" w:hAnsi="Arial" w:cs="Arial"/>
              </w:rPr>
              <w:t xml:space="preserve">Nabídky budou přijímány pouze elektronicky na portálu Josephine </w:t>
            </w:r>
            <w:hyperlink r:id="rId8" w:history="1">
              <w:r w:rsidRPr="00EC5092">
                <w:rPr>
                  <w:rStyle w:val="Hypertextovodkaz"/>
                  <w:rFonts w:ascii="Arial" w:hAnsi="Arial" w:cs="Arial"/>
                </w:rPr>
                <w:t>https://josephine.proebiz.com/cs/profile/mestsky-urad-znojmo</w:t>
              </w:r>
            </w:hyperlink>
            <w:r w:rsidR="00627C3C">
              <w:rPr>
                <w:rStyle w:val="Hypertextovodkaz"/>
                <w:rFonts w:ascii="Arial" w:hAnsi="Arial" w:cs="Arial"/>
              </w:rPr>
              <w:t xml:space="preserve"> </w:t>
            </w:r>
            <w:r w:rsidR="00423B01" w:rsidRPr="00627C3C">
              <w:rPr>
                <w:rFonts w:ascii="Arial" w:hAnsi="Arial" w:cs="Arial"/>
              </w:rPr>
              <w:t>p</w:t>
            </w:r>
            <w:r w:rsidRPr="00627C3C">
              <w:rPr>
                <w:rFonts w:ascii="Arial" w:hAnsi="Arial" w:cs="Arial"/>
              </w:rPr>
              <w:t xml:space="preserve">o registraci / </w:t>
            </w:r>
            <w:r w:rsidRPr="00627C3C">
              <w:rPr>
                <w:rFonts w:ascii="Arial" w:hAnsi="Arial" w:cs="Arial"/>
                <w:bCs/>
              </w:rPr>
              <w:t>přihlášení účastníka</w:t>
            </w:r>
            <w:r w:rsidRPr="00627C3C">
              <w:rPr>
                <w:rFonts w:ascii="Arial" w:hAnsi="Arial" w:cs="Arial"/>
              </w:rPr>
              <w:t xml:space="preserve"> v termínu do </w:t>
            </w:r>
            <w:r w:rsidR="009577BC">
              <w:rPr>
                <w:rFonts w:ascii="Arial" w:hAnsi="Arial" w:cs="Arial"/>
                <w:b/>
                <w:bCs/>
              </w:rPr>
              <w:t>19.07.2024</w:t>
            </w:r>
            <w:r w:rsidRPr="006B1CE0">
              <w:rPr>
                <w:rFonts w:ascii="Arial" w:hAnsi="Arial" w:cs="Arial"/>
                <w:b/>
                <w:bCs/>
              </w:rPr>
              <w:t xml:space="preserve"> do 10:00 hodin</w:t>
            </w:r>
            <w:r w:rsidRPr="00627C3C">
              <w:rPr>
                <w:rFonts w:ascii="Arial" w:hAnsi="Arial" w:cs="Arial"/>
                <w:bCs/>
              </w:rPr>
              <w:t>.</w:t>
            </w:r>
          </w:p>
        </w:tc>
      </w:tr>
      <w:tr w:rsidR="00773167" w:rsidRPr="00124110" w14:paraId="28EE0FEE" w14:textId="77777777" w:rsidTr="003168CC">
        <w:trPr>
          <w:trHeight w:val="844"/>
        </w:trPr>
        <w:tc>
          <w:tcPr>
            <w:tcW w:w="2489" w:type="dxa"/>
            <w:shd w:val="clear" w:color="auto" w:fill="F2F2F2"/>
          </w:tcPr>
          <w:p w14:paraId="663D21B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52447FF7" w14:textId="1C6F49C9" w:rsidR="00773167" w:rsidRPr="00EC5092" w:rsidRDefault="00104798" w:rsidP="003168CC">
            <w:pPr>
              <w:spacing w:after="0" w:line="240" w:lineRule="auto"/>
              <w:jc w:val="both"/>
              <w:rPr>
                <w:rFonts w:ascii="Arial" w:eastAsia="Times New Roman" w:hAnsi="Arial" w:cs="Arial"/>
                <w:highlight w:val="yellow"/>
                <w:lang w:eastAsia="cs-CZ"/>
              </w:rPr>
            </w:pPr>
            <w:r>
              <w:rPr>
                <w:rFonts w:ascii="Arial" w:hAnsi="Arial" w:cs="Arial"/>
              </w:rPr>
              <w:t>1 </w:t>
            </w:r>
            <w:r w:rsidR="005C2C8E">
              <w:rPr>
                <w:rFonts w:ascii="Arial" w:hAnsi="Arial" w:cs="Arial"/>
              </w:rPr>
              <w:t>9</w:t>
            </w:r>
            <w:r>
              <w:rPr>
                <w:rFonts w:ascii="Arial" w:hAnsi="Arial" w:cs="Arial"/>
              </w:rPr>
              <w:t>00 000</w:t>
            </w:r>
            <w:r w:rsidR="00BD6E5E">
              <w:rPr>
                <w:rFonts w:ascii="Arial" w:hAnsi="Arial" w:cs="Arial"/>
              </w:rPr>
              <w:t xml:space="preserve">,- bez DPH </w:t>
            </w:r>
          </w:p>
        </w:tc>
      </w:tr>
      <w:tr w:rsidR="00773167" w:rsidRPr="00124110" w14:paraId="07B78806" w14:textId="77777777" w:rsidTr="003168CC">
        <w:trPr>
          <w:trHeight w:val="875"/>
        </w:trPr>
        <w:tc>
          <w:tcPr>
            <w:tcW w:w="2489" w:type="dxa"/>
            <w:shd w:val="clear" w:color="auto" w:fill="F2F2F2"/>
          </w:tcPr>
          <w:p w14:paraId="4FE5F833" w14:textId="4AFE2078" w:rsidR="00773167" w:rsidRPr="0008661D" w:rsidRDefault="00B34974" w:rsidP="00773167">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t xml:space="preserve">Termín </w:t>
            </w:r>
            <w:r w:rsidR="003E0012">
              <w:rPr>
                <w:rFonts w:ascii="Arial" w:eastAsia="Times New Roman" w:hAnsi="Arial" w:cs="Arial"/>
                <w:b/>
                <w:lang w:eastAsia="cs-CZ"/>
              </w:rPr>
              <w:t xml:space="preserve">a </w:t>
            </w:r>
            <w:r w:rsidR="003E0012" w:rsidRPr="00FA0486">
              <w:rPr>
                <w:rFonts w:ascii="Arial" w:eastAsia="Times New Roman" w:hAnsi="Arial" w:cs="Arial"/>
                <w:b/>
                <w:lang w:eastAsia="cs-CZ"/>
              </w:rPr>
              <w:t>místo</w:t>
            </w:r>
            <w:r w:rsidR="003E0012">
              <w:rPr>
                <w:rFonts w:ascii="Arial" w:eastAsia="Times New Roman" w:hAnsi="Arial" w:cs="Arial"/>
                <w:b/>
                <w:lang w:eastAsia="cs-CZ"/>
              </w:rPr>
              <w:t xml:space="preserve"> </w:t>
            </w:r>
            <w:r>
              <w:rPr>
                <w:rFonts w:ascii="Arial" w:eastAsia="Times New Roman" w:hAnsi="Arial" w:cs="Arial"/>
                <w:b/>
                <w:lang w:eastAsia="cs-CZ"/>
              </w:rPr>
              <w:t>realizace</w:t>
            </w:r>
          </w:p>
        </w:tc>
        <w:tc>
          <w:tcPr>
            <w:tcW w:w="6975" w:type="dxa"/>
            <w:vAlign w:val="center"/>
          </w:tcPr>
          <w:p w14:paraId="49506965" w14:textId="479E1AA1" w:rsidR="003E0012" w:rsidRDefault="009E1E50" w:rsidP="0008661D">
            <w:pPr>
              <w:spacing w:after="0" w:line="240" w:lineRule="auto"/>
              <w:jc w:val="both"/>
              <w:rPr>
                <w:rFonts w:ascii="Arial" w:eastAsia="Times New Roman" w:hAnsi="Arial" w:cs="Arial"/>
                <w:lang w:eastAsia="cs-CZ"/>
              </w:rPr>
            </w:pPr>
            <w:r>
              <w:rPr>
                <w:rFonts w:ascii="Arial" w:eastAsia="Times New Roman" w:hAnsi="Arial" w:cs="Arial"/>
                <w:lang w:eastAsia="cs-CZ"/>
              </w:rPr>
              <w:t>D</w:t>
            </w:r>
            <w:r w:rsidR="00104798">
              <w:rPr>
                <w:rFonts w:ascii="Arial" w:eastAsia="Times New Roman" w:hAnsi="Arial" w:cs="Arial"/>
                <w:lang w:eastAsia="cs-CZ"/>
              </w:rPr>
              <w:t xml:space="preserve">o </w:t>
            </w:r>
            <w:r w:rsidR="005C2C8E">
              <w:rPr>
                <w:rFonts w:ascii="Arial" w:eastAsia="Times New Roman" w:hAnsi="Arial" w:cs="Arial"/>
                <w:lang w:eastAsia="cs-CZ"/>
              </w:rPr>
              <w:t>3</w:t>
            </w:r>
            <w:r w:rsidR="00104798">
              <w:rPr>
                <w:rFonts w:ascii="Arial" w:eastAsia="Times New Roman" w:hAnsi="Arial" w:cs="Arial"/>
                <w:lang w:eastAsia="cs-CZ"/>
              </w:rPr>
              <w:t>60 dní</w:t>
            </w:r>
            <w:r w:rsidR="003E0012">
              <w:rPr>
                <w:rFonts w:ascii="Arial" w:eastAsia="Times New Roman" w:hAnsi="Arial" w:cs="Arial"/>
                <w:lang w:eastAsia="cs-CZ"/>
              </w:rPr>
              <w:t xml:space="preserve"> </w:t>
            </w:r>
            <w:r w:rsidR="00DC784A">
              <w:rPr>
                <w:rFonts w:ascii="Arial" w:eastAsia="Times New Roman" w:hAnsi="Arial" w:cs="Arial"/>
                <w:lang w:eastAsia="cs-CZ"/>
              </w:rPr>
              <w:t>od podpisu kupní smlouvy</w:t>
            </w:r>
          </w:p>
          <w:p w14:paraId="446F9518" w14:textId="17706596" w:rsidR="00FA0486" w:rsidRPr="00EC5092" w:rsidRDefault="00FA0486" w:rsidP="0008661D">
            <w:pPr>
              <w:spacing w:after="0" w:line="240" w:lineRule="auto"/>
              <w:jc w:val="both"/>
              <w:rPr>
                <w:rFonts w:ascii="Arial" w:eastAsia="Times New Roman" w:hAnsi="Arial" w:cs="Arial"/>
                <w:lang w:eastAsia="cs-CZ"/>
              </w:rPr>
            </w:pPr>
          </w:p>
        </w:tc>
      </w:tr>
      <w:tr w:rsidR="00773167" w:rsidRPr="00124110" w14:paraId="5F60148A" w14:textId="77777777" w:rsidTr="003168CC">
        <w:trPr>
          <w:trHeight w:val="954"/>
        </w:trPr>
        <w:tc>
          <w:tcPr>
            <w:tcW w:w="2489" w:type="dxa"/>
            <w:shd w:val="clear" w:color="auto" w:fill="F2F2F2"/>
          </w:tcPr>
          <w:p w14:paraId="26E9FA8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w:t>
            </w:r>
            <w:r w:rsidR="00634AD9">
              <w:rPr>
                <w:rFonts w:ascii="Arial" w:eastAsia="Times New Roman" w:hAnsi="Arial" w:cs="Arial"/>
                <w:b/>
                <w:lang w:eastAsia="cs-CZ"/>
              </w:rPr>
              <w:t>a prokázání kvalifikace účastníka</w:t>
            </w:r>
          </w:p>
        </w:tc>
        <w:tc>
          <w:tcPr>
            <w:tcW w:w="6975" w:type="dxa"/>
            <w:vAlign w:val="center"/>
          </w:tcPr>
          <w:p w14:paraId="793D47FC"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6EFE64AA" w14:textId="77777777" w:rsidR="00773167" w:rsidRDefault="00773167" w:rsidP="005C2C8E">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čestné prohlášení o splnění základních kvalifikačních předpokladů podle přílohy č. </w:t>
            </w:r>
            <w:r w:rsidR="008751FB">
              <w:rPr>
                <w:rFonts w:ascii="Arial" w:eastAsia="Times New Roman" w:hAnsi="Arial" w:cs="Arial"/>
                <w:lang w:eastAsia="cs-CZ"/>
              </w:rPr>
              <w:t>3</w:t>
            </w:r>
            <w:r w:rsidRPr="007A1BA5">
              <w:rPr>
                <w:rFonts w:ascii="Arial" w:eastAsia="Times New Roman" w:hAnsi="Arial" w:cs="Arial"/>
                <w:lang w:eastAsia="cs-CZ"/>
              </w:rPr>
              <w:t xml:space="preserve"> této výzvy </w:t>
            </w:r>
          </w:p>
          <w:p w14:paraId="29BD6ADA" w14:textId="5254ACB3" w:rsidR="005C2C8E" w:rsidRPr="005C2C8E" w:rsidRDefault="005C2C8E" w:rsidP="005C2C8E">
            <w:pPr>
              <w:pStyle w:val="Zkladntext"/>
              <w:numPr>
                <w:ilvl w:val="0"/>
                <w:numId w:val="1"/>
              </w:numPr>
              <w:ind w:right="-119"/>
              <w:jc w:val="both"/>
              <w:rPr>
                <w:sz w:val="24"/>
                <w:szCs w:val="24"/>
                <w:lang w:val="cs-CZ"/>
              </w:rPr>
            </w:pPr>
            <w:r>
              <w:rPr>
                <w:sz w:val="24"/>
                <w:szCs w:val="24"/>
                <w:lang w:val="cs-CZ"/>
              </w:rPr>
              <w:t xml:space="preserve">Přehled významných služeb – dodavatel předloží seznam významných služeb (formou čestného prohlášení) poskytnutých dodavatelem v posledních 3 letech s uvedením rozsahu a doby plnění. Významnou službou se rozumí zpracování LHP s výměrou nad </w:t>
            </w:r>
            <w:r>
              <w:rPr>
                <w:sz w:val="24"/>
                <w:szCs w:val="24"/>
                <w:lang w:val="cs-CZ"/>
              </w:rPr>
              <w:br/>
              <w:t>2 000 ha.</w:t>
            </w:r>
          </w:p>
          <w:p w14:paraId="62B8F679" w14:textId="77777777" w:rsidR="005C2C8E" w:rsidRDefault="005C2C8E" w:rsidP="005C2C8E">
            <w:pPr>
              <w:pStyle w:val="Zkladntext"/>
              <w:numPr>
                <w:ilvl w:val="0"/>
                <w:numId w:val="1"/>
              </w:numPr>
              <w:ind w:right="-119"/>
              <w:jc w:val="both"/>
              <w:rPr>
                <w:sz w:val="24"/>
                <w:szCs w:val="24"/>
                <w:lang w:val="cs-CZ"/>
              </w:rPr>
            </w:pPr>
            <w:r>
              <w:rPr>
                <w:sz w:val="24"/>
                <w:szCs w:val="24"/>
                <w:lang w:val="cs-CZ"/>
              </w:rPr>
              <w:t>P</w:t>
            </w:r>
            <w:r w:rsidRPr="00A743BE">
              <w:rPr>
                <w:sz w:val="24"/>
                <w:szCs w:val="24"/>
                <w:lang w:val="cs-CZ"/>
              </w:rPr>
              <w:t>řehled zaměstnanců</w:t>
            </w:r>
            <w:r>
              <w:rPr>
                <w:sz w:val="24"/>
                <w:szCs w:val="24"/>
                <w:lang w:val="cs-CZ"/>
              </w:rPr>
              <w:t xml:space="preserve"> – dodavatel předloží seznam vlastních zaměstnanců (formou čestného prohlášení) s uvedením vzdělání a délky praxe v hospodářské úpravě lesa. U vedoucích zaměstnanců a osob odpovědných za poskytování příslušných služeb předloží dodavatel osvědčení o vzdělání (prostá kopie). Dále dodavatel uvede přehled průměrného ročního počtu zaměstnanců (formou čestného prohlášení) podílejících se na plnění zakázek podobného charakteru za poslední 3 roky.</w:t>
            </w:r>
          </w:p>
          <w:p w14:paraId="6E30C0C4" w14:textId="3081F333" w:rsidR="005C2C8E" w:rsidRPr="00643812" w:rsidRDefault="005C2C8E" w:rsidP="00643812">
            <w:pPr>
              <w:pStyle w:val="Zkladntext"/>
              <w:numPr>
                <w:ilvl w:val="0"/>
                <w:numId w:val="1"/>
              </w:numPr>
              <w:ind w:right="-119"/>
              <w:jc w:val="both"/>
              <w:rPr>
                <w:rFonts w:ascii="Arial" w:hAnsi="Arial" w:cs="Arial"/>
                <w:color w:val="000000"/>
                <w:sz w:val="24"/>
                <w:szCs w:val="24"/>
                <w:lang w:val="cs-CZ"/>
              </w:rPr>
            </w:pPr>
            <w:r>
              <w:rPr>
                <w:sz w:val="24"/>
                <w:szCs w:val="24"/>
                <w:lang w:val="cs-CZ"/>
              </w:rPr>
              <w:t>P</w:t>
            </w:r>
            <w:r w:rsidRPr="00A743BE">
              <w:rPr>
                <w:sz w:val="24"/>
                <w:szCs w:val="24"/>
                <w:lang w:val="cs-CZ"/>
              </w:rPr>
              <w:t>řehled technického vybavení</w:t>
            </w:r>
            <w:r>
              <w:rPr>
                <w:sz w:val="24"/>
                <w:szCs w:val="24"/>
                <w:lang w:val="cs-CZ"/>
              </w:rPr>
              <w:t xml:space="preserve"> – dodavatel předloží seznam technického vybavení </w:t>
            </w:r>
            <w:r w:rsidRPr="00AC7FA4">
              <w:rPr>
                <w:sz w:val="24"/>
                <w:szCs w:val="24"/>
                <w:lang w:val="cs-CZ"/>
              </w:rPr>
              <w:t xml:space="preserve">(formou čestného </w:t>
            </w:r>
            <w:r w:rsidRPr="00643812">
              <w:rPr>
                <w:sz w:val="22"/>
                <w:szCs w:val="22"/>
                <w:lang w:val="cs-CZ"/>
              </w:rPr>
              <w:t xml:space="preserve">prohlášení), </w:t>
            </w:r>
            <w:r w:rsidRPr="00643812">
              <w:rPr>
                <w:rStyle w:val="values1"/>
                <w:sz w:val="22"/>
                <w:szCs w:val="22"/>
                <w:lang w:val="cs-CZ"/>
              </w:rPr>
              <w:t>s kterým je oprávněn disponovat při zpracování zakázky.</w:t>
            </w:r>
          </w:p>
        </w:tc>
      </w:tr>
      <w:tr w:rsidR="00773167" w:rsidRPr="00124110" w14:paraId="20CE48D2" w14:textId="77777777" w:rsidTr="003168CC">
        <w:trPr>
          <w:trHeight w:val="1462"/>
        </w:trPr>
        <w:tc>
          <w:tcPr>
            <w:tcW w:w="2489" w:type="dxa"/>
            <w:shd w:val="clear" w:color="auto" w:fill="F2F2F2"/>
          </w:tcPr>
          <w:p w14:paraId="0400DD5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3038C320"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0CA27F04"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Ekonomická výhodnost nabídek bude hodnocena podle nejnižší nabídkové ceny (jediné hodnotící kritérium).  </w:t>
            </w:r>
          </w:p>
          <w:p w14:paraId="50EF6E81"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Jako nejvýhodnější bude vyhodnocena nabídka s nejnižší cenou. </w:t>
            </w:r>
          </w:p>
          <w:p w14:paraId="0C6F3198"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lastRenderedPageBreak/>
              <w:t>Zadavatel stanoví, že pro vyhodnocení bude rozhodující nabídková cena bez DPH.</w:t>
            </w:r>
          </w:p>
        </w:tc>
      </w:tr>
      <w:tr w:rsidR="00773167" w:rsidRPr="00124110" w14:paraId="04978257" w14:textId="77777777" w:rsidTr="003168CC">
        <w:trPr>
          <w:trHeight w:val="2693"/>
        </w:trPr>
        <w:tc>
          <w:tcPr>
            <w:tcW w:w="2489" w:type="dxa"/>
            <w:shd w:val="clear" w:color="auto" w:fill="F2F2F2"/>
          </w:tcPr>
          <w:p w14:paraId="24CC6766"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50A775FE" w14:textId="06954B18"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Nabídková cena musí představovat celkovou cenu </w:t>
            </w:r>
            <w:r w:rsidR="005C2C8E">
              <w:rPr>
                <w:rFonts w:ascii="Arial" w:eastAsia="Times New Roman" w:hAnsi="Arial" w:cs="Arial"/>
                <w:lang w:eastAsia="cs-CZ"/>
              </w:rPr>
              <w:t xml:space="preserve">za zpracování LHP pro Zadavatele. </w:t>
            </w:r>
            <w:r w:rsidRPr="00050905">
              <w:rPr>
                <w:rFonts w:ascii="Arial" w:eastAsia="Times New Roman" w:hAnsi="Arial" w:cs="Arial"/>
                <w:lang w:eastAsia="cs-CZ"/>
              </w:rPr>
              <w:t xml:space="preserve"> V celkové nabídkové ceně budou zahrnuty veškeré náklady.</w:t>
            </w:r>
          </w:p>
          <w:p w14:paraId="4366651E" w14:textId="77777777" w:rsidR="00773167" w:rsidRPr="00050905" w:rsidRDefault="00773167" w:rsidP="003168CC">
            <w:pPr>
              <w:spacing w:after="0" w:line="240" w:lineRule="auto"/>
              <w:jc w:val="both"/>
              <w:rPr>
                <w:rFonts w:ascii="Arial" w:eastAsia="Times New Roman" w:hAnsi="Arial" w:cs="Arial"/>
                <w:lang w:eastAsia="cs-CZ"/>
              </w:rPr>
            </w:pPr>
          </w:p>
          <w:p w14:paraId="4A42138E"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63F4F863"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47E9EAF2" w14:textId="7777771C"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daň z přidané hodnoty (21</w:t>
            </w:r>
            <w:r w:rsidR="005B6E62">
              <w:rPr>
                <w:rFonts w:ascii="Arial" w:eastAsia="Times New Roman" w:hAnsi="Arial" w:cs="Arial"/>
                <w:lang w:eastAsia="cs-CZ"/>
              </w:rPr>
              <w:t xml:space="preserve"> </w:t>
            </w:r>
            <w:r w:rsidRPr="00050905">
              <w:rPr>
                <w:rFonts w:ascii="Arial" w:eastAsia="Times New Roman" w:hAnsi="Arial" w:cs="Arial"/>
                <w:lang w:eastAsia="cs-CZ"/>
              </w:rPr>
              <w:t xml:space="preserve">%) </w:t>
            </w:r>
          </w:p>
          <w:p w14:paraId="73E71EDA"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3B6E9D9E" w14:textId="77777777" w:rsidTr="003168CC">
        <w:trPr>
          <w:trHeight w:val="472"/>
        </w:trPr>
        <w:tc>
          <w:tcPr>
            <w:tcW w:w="2489" w:type="dxa"/>
            <w:shd w:val="clear" w:color="auto" w:fill="F2F2F2"/>
          </w:tcPr>
          <w:p w14:paraId="437001DF"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3B049FAE"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r w:rsidR="003E061B">
              <w:rPr>
                <w:rFonts w:ascii="Arial" w:eastAsia="Times New Roman" w:hAnsi="Arial" w:cs="Arial"/>
                <w:lang w:eastAsia="cs-CZ"/>
              </w:rPr>
              <w:t>.</w:t>
            </w:r>
          </w:p>
        </w:tc>
      </w:tr>
      <w:tr w:rsidR="00773167" w:rsidRPr="00DA154D" w14:paraId="0442C1FA" w14:textId="77777777" w:rsidTr="003168CC">
        <w:trPr>
          <w:trHeight w:val="554"/>
        </w:trPr>
        <w:tc>
          <w:tcPr>
            <w:tcW w:w="2489" w:type="dxa"/>
            <w:shd w:val="clear" w:color="auto" w:fill="F2F2F2"/>
          </w:tcPr>
          <w:p w14:paraId="1DA19436"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5ABF9EFA" w14:textId="7777777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DA154D">
              <w:rPr>
                <w:rFonts w:ascii="Arial" w:eastAsia="Times New Roman" w:hAnsi="Arial" w:cs="Arial"/>
                <w:lang w:eastAsia="cs-CZ"/>
              </w:rPr>
              <w:t>(písemnou formou se rozumí i elektronická pošta na kontaktní osobu zadavatele)</w:t>
            </w:r>
            <w:r w:rsidRPr="00DA154D">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323EEAB6" w14:textId="77777777" w:rsidTr="003168CC">
        <w:trPr>
          <w:trHeight w:val="2679"/>
        </w:trPr>
        <w:tc>
          <w:tcPr>
            <w:tcW w:w="2489" w:type="dxa"/>
            <w:shd w:val="clear" w:color="auto" w:fill="F2F2F2"/>
          </w:tcPr>
          <w:p w14:paraId="10184F8B"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0FB0320F" w14:textId="77777777" w:rsidR="00773167" w:rsidRPr="002E229E" w:rsidRDefault="00773167" w:rsidP="003168CC">
            <w:pPr>
              <w:spacing w:after="0" w:line="240" w:lineRule="auto"/>
              <w:ind w:left="284" w:hanging="392"/>
              <w:rPr>
                <w:rFonts w:ascii="Arial" w:eastAsia="Times New Roman" w:hAnsi="Arial" w:cs="Arial"/>
                <w:b/>
                <w:lang w:eastAsia="cs-CZ"/>
              </w:rPr>
            </w:pPr>
          </w:p>
          <w:p w14:paraId="757D2384"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5CC87663" w14:textId="77777777" w:rsidR="00773167" w:rsidRPr="000558D2" w:rsidRDefault="00773167" w:rsidP="003168CC">
            <w:pPr>
              <w:pStyle w:val="Default"/>
              <w:jc w:val="both"/>
              <w:rPr>
                <w:sz w:val="22"/>
                <w:szCs w:val="22"/>
              </w:rPr>
            </w:pPr>
            <w:r w:rsidRPr="000558D2">
              <w:rPr>
                <w:sz w:val="22"/>
                <w:szCs w:val="22"/>
              </w:rPr>
              <w:t xml:space="preserve">Nabídka musí splňovat požadavky na </w:t>
            </w:r>
            <w:r w:rsidRPr="003E0012">
              <w:rPr>
                <w:sz w:val="22"/>
                <w:szCs w:val="22"/>
              </w:rPr>
              <w:t>prokázání kvalifikace účastníka</w:t>
            </w:r>
            <w:r w:rsidRPr="000558D2">
              <w:rPr>
                <w:sz w:val="22"/>
                <w:szCs w:val="22"/>
              </w:rPr>
              <w:t xml:space="preserve"> výběrového řízení. Nabídka musí mít veškeré náležitosti požadované touto zadávací dokumentací.</w:t>
            </w:r>
          </w:p>
          <w:p w14:paraId="1172A27D" w14:textId="77777777" w:rsidR="00773167" w:rsidRPr="000558D2" w:rsidRDefault="00773167" w:rsidP="003168CC">
            <w:pPr>
              <w:spacing w:after="0" w:line="240" w:lineRule="auto"/>
              <w:jc w:val="both"/>
              <w:rPr>
                <w:rFonts w:ascii="Arial" w:eastAsia="Times New Roman" w:hAnsi="Arial" w:cs="Arial"/>
                <w:lang w:eastAsia="cs-CZ"/>
              </w:rPr>
            </w:pPr>
          </w:p>
          <w:p w14:paraId="75D045D0"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52132370" w14:textId="0717B625"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krycí list nabídky zpracovaný dle přílohy č. </w:t>
            </w:r>
            <w:r w:rsidR="008751FB">
              <w:rPr>
                <w:rFonts w:ascii="Arial" w:eastAsia="Times New Roman" w:hAnsi="Arial" w:cs="Arial"/>
                <w:lang w:eastAsia="cs-CZ"/>
              </w:rPr>
              <w:t>4</w:t>
            </w:r>
            <w:r w:rsidRPr="000558D2">
              <w:rPr>
                <w:rFonts w:ascii="Arial" w:eastAsia="Times New Roman" w:hAnsi="Arial" w:cs="Arial"/>
                <w:lang w:eastAsia="cs-CZ"/>
              </w:rPr>
              <w:t xml:space="preserve"> této výzvy,</w:t>
            </w:r>
          </w:p>
          <w:p w14:paraId="434368AA" w14:textId="0114EB29"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čestné prohlášení o splnění způsobilosti dle přílohy č. </w:t>
            </w:r>
            <w:r w:rsidR="008751FB">
              <w:rPr>
                <w:rFonts w:ascii="Arial" w:eastAsia="Times New Roman" w:hAnsi="Arial" w:cs="Arial"/>
                <w:lang w:eastAsia="cs-CZ"/>
              </w:rPr>
              <w:t>3</w:t>
            </w:r>
            <w:r w:rsidRPr="000558D2">
              <w:rPr>
                <w:rFonts w:ascii="Arial" w:eastAsia="Times New Roman" w:hAnsi="Arial" w:cs="Arial"/>
                <w:lang w:eastAsia="cs-CZ"/>
              </w:rPr>
              <w:t xml:space="preserve"> této výzvy,</w:t>
            </w:r>
          </w:p>
          <w:p w14:paraId="511710C8" w14:textId="3D463A71" w:rsidR="00773167"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č. </w:t>
            </w:r>
            <w:r w:rsidR="008751FB">
              <w:rPr>
                <w:rFonts w:ascii="Arial" w:eastAsia="Times New Roman" w:hAnsi="Arial" w:cs="Arial"/>
                <w:lang w:eastAsia="cs-CZ"/>
              </w:rPr>
              <w:t>1</w:t>
            </w:r>
            <w:r w:rsidRPr="000558D2">
              <w:rPr>
                <w:rFonts w:ascii="Arial" w:eastAsia="Times New Roman" w:hAnsi="Arial" w:cs="Arial"/>
                <w:lang w:eastAsia="cs-CZ"/>
              </w:rPr>
              <w:t xml:space="preserve"> této výzvy</w:t>
            </w:r>
          </w:p>
          <w:p w14:paraId="7CEBBC31" w14:textId="77777777" w:rsidR="00773167" w:rsidRPr="000558D2" w:rsidRDefault="00773167" w:rsidP="003168CC">
            <w:pPr>
              <w:pStyle w:val="Odstavecseseznamem"/>
              <w:spacing w:after="0" w:line="240" w:lineRule="auto"/>
              <w:jc w:val="both"/>
              <w:rPr>
                <w:rFonts w:ascii="Arial" w:eastAsia="Times New Roman" w:hAnsi="Arial" w:cs="Arial"/>
                <w:lang w:eastAsia="cs-CZ"/>
              </w:rPr>
            </w:pPr>
          </w:p>
          <w:p w14:paraId="7A9FA772"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59E7C629"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p>
          <w:p w14:paraId="2BA9F594"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nabídka bude podepsána osobou oprávněnou jednat jménem či za účastníka výběrového řízení </w:t>
            </w:r>
          </w:p>
        </w:tc>
      </w:tr>
      <w:tr w:rsidR="00773167" w:rsidRPr="00124110" w14:paraId="1CB8B463" w14:textId="77777777" w:rsidTr="00DA154D">
        <w:trPr>
          <w:trHeight w:val="595"/>
        </w:trPr>
        <w:tc>
          <w:tcPr>
            <w:tcW w:w="2489" w:type="dxa"/>
            <w:shd w:val="clear" w:color="auto" w:fill="F2F2F2"/>
          </w:tcPr>
          <w:p w14:paraId="32BF0795"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6592B332" w14:textId="77777777"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zením. Zadavatel nebude účastníky</w:t>
            </w:r>
            <w:r w:rsidR="00773167" w:rsidRPr="000558D2">
              <w:rPr>
                <w:rFonts w:ascii="Arial" w:eastAsia="Times New Roman" w:hAnsi="Arial" w:cs="Arial"/>
                <w:lang w:eastAsia="cs-CZ"/>
              </w:rPr>
              <w:t xml:space="preserve"> zvát k otevírání obálek s nabídkami.</w:t>
            </w:r>
          </w:p>
          <w:p w14:paraId="47F17DB9"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lastRenderedPageBreak/>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16710604"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t>Zadavatel nepřipouští varianty nabídek.</w:t>
            </w:r>
          </w:p>
          <w:p w14:paraId="090078D6"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722851C0"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0FD532CE"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010ACCA6"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1659BE8B"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neprokáže kvalifikaci v požadovaném rozsahu;</w:t>
            </w:r>
          </w:p>
          <w:p w14:paraId="0BEFA3DB"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036DC0DF" w14:textId="77777777" w:rsidR="00773167" w:rsidRPr="000558D2" w:rsidRDefault="00773167" w:rsidP="003168CC">
            <w:pPr>
              <w:spacing w:after="0" w:line="240" w:lineRule="auto"/>
              <w:jc w:val="both"/>
              <w:rPr>
                <w:rFonts w:ascii="Arial" w:eastAsia="Times New Roman" w:hAnsi="Arial" w:cs="Arial"/>
                <w:lang w:eastAsia="cs-CZ"/>
              </w:rPr>
            </w:pPr>
          </w:p>
          <w:p w14:paraId="248CDE9A"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p>
          <w:p w14:paraId="4B4482E3" w14:textId="77777777" w:rsidR="00773167" w:rsidRPr="000558D2" w:rsidRDefault="00773167" w:rsidP="003168CC">
            <w:pPr>
              <w:spacing w:after="0" w:line="240" w:lineRule="auto"/>
              <w:jc w:val="both"/>
              <w:rPr>
                <w:rFonts w:ascii="Arial" w:eastAsia="Times New Roman" w:hAnsi="Arial" w:cs="Arial"/>
                <w:lang w:eastAsia="cs-CZ"/>
              </w:rPr>
            </w:pPr>
          </w:p>
          <w:p w14:paraId="1E5E24DB" w14:textId="77777777" w:rsidR="00773167" w:rsidRPr="00DA154D" w:rsidRDefault="00773167" w:rsidP="00DA154D">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270CE2E9" w14:textId="77777777" w:rsidTr="003168CC">
        <w:tc>
          <w:tcPr>
            <w:tcW w:w="2489" w:type="dxa"/>
            <w:shd w:val="clear" w:color="auto" w:fill="F2F2F2"/>
          </w:tcPr>
          <w:p w14:paraId="74ECF0B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14:paraId="40DC5408" w14:textId="6692C544"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Příloha č. 1 – </w:t>
            </w:r>
            <w:r w:rsidR="008751FB" w:rsidRPr="00050905">
              <w:rPr>
                <w:rFonts w:ascii="Arial" w:eastAsia="Times New Roman" w:hAnsi="Arial" w:cs="Arial"/>
                <w:lang w:eastAsia="cs-CZ"/>
              </w:rPr>
              <w:t xml:space="preserve">Návrh </w:t>
            </w:r>
            <w:r w:rsidR="008751FB">
              <w:rPr>
                <w:rFonts w:ascii="Arial" w:eastAsia="Times New Roman" w:hAnsi="Arial" w:cs="Arial"/>
                <w:lang w:eastAsia="cs-CZ"/>
              </w:rPr>
              <w:t xml:space="preserve">kupní smlouvy  </w:t>
            </w:r>
          </w:p>
          <w:p w14:paraId="4994AF78" w14:textId="325DA02B"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Příloha č. </w:t>
            </w:r>
            <w:r w:rsidR="005C2C8E">
              <w:rPr>
                <w:rFonts w:ascii="Arial" w:eastAsia="Times New Roman" w:hAnsi="Arial" w:cs="Arial"/>
                <w:lang w:eastAsia="cs-CZ"/>
              </w:rPr>
              <w:t>2</w:t>
            </w:r>
            <w:r w:rsidRPr="00050905">
              <w:rPr>
                <w:rFonts w:ascii="Arial" w:eastAsia="Times New Roman" w:hAnsi="Arial" w:cs="Arial"/>
                <w:lang w:eastAsia="cs-CZ"/>
              </w:rPr>
              <w:t xml:space="preserve"> – </w:t>
            </w:r>
            <w:r w:rsidR="008751FB" w:rsidRPr="00050905">
              <w:rPr>
                <w:rFonts w:ascii="Arial" w:eastAsia="Times New Roman" w:hAnsi="Arial" w:cs="Arial"/>
                <w:lang w:eastAsia="cs-CZ"/>
              </w:rPr>
              <w:t>Čestné prohlášení uchazeče o splnění základní způsobilosti</w:t>
            </w:r>
          </w:p>
          <w:p w14:paraId="4FDAAA4A" w14:textId="55590868" w:rsidR="00773167" w:rsidRDefault="00050905"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5C2C8E">
              <w:rPr>
                <w:rFonts w:ascii="Arial" w:eastAsia="Times New Roman" w:hAnsi="Arial" w:cs="Arial"/>
                <w:lang w:eastAsia="cs-CZ"/>
              </w:rPr>
              <w:t>3</w:t>
            </w:r>
            <w:r>
              <w:rPr>
                <w:rFonts w:ascii="Arial" w:eastAsia="Times New Roman" w:hAnsi="Arial" w:cs="Arial"/>
                <w:lang w:eastAsia="cs-CZ"/>
              </w:rPr>
              <w:t xml:space="preserve"> – </w:t>
            </w:r>
            <w:r w:rsidR="00142868" w:rsidRPr="00142868">
              <w:rPr>
                <w:rFonts w:ascii="Arial" w:eastAsia="Times New Roman" w:hAnsi="Arial" w:cs="Arial"/>
                <w:lang w:eastAsia="cs-CZ"/>
              </w:rPr>
              <w:t>Krycí list nabídky</w:t>
            </w:r>
          </w:p>
          <w:p w14:paraId="681C76F7" w14:textId="626084D4" w:rsidR="00142868" w:rsidRPr="00050905" w:rsidRDefault="00142868"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5C2C8E">
              <w:rPr>
                <w:rFonts w:ascii="Arial" w:eastAsia="Times New Roman" w:hAnsi="Arial" w:cs="Arial"/>
                <w:lang w:eastAsia="cs-CZ"/>
              </w:rPr>
              <w:t>4</w:t>
            </w:r>
            <w:r>
              <w:rPr>
                <w:rFonts w:ascii="Arial" w:eastAsia="Times New Roman" w:hAnsi="Arial" w:cs="Arial"/>
                <w:lang w:eastAsia="cs-CZ"/>
              </w:rPr>
              <w:t xml:space="preserve"> – JOSEPHINE – Požadavky na elektronickou komunikaci </w:t>
            </w:r>
          </w:p>
        </w:tc>
      </w:tr>
    </w:tbl>
    <w:p w14:paraId="3469BDD1" w14:textId="77777777" w:rsidR="000B757C" w:rsidRPr="00773167" w:rsidRDefault="000B757C" w:rsidP="00773167"/>
    <w:sectPr w:rsidR="000B757C" w:rsidRPr="0077316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0A99" w14:textId="77777777" w:rsidR="00F728D7" w:rsidRDefault="00F728D7" w:rsidP="000F485A">
      <w:pPr>
        <w:spacing w:after="0" w:line="240" w:lineRule="auto"/>
      </w:pPr>
      <w:r>
        <w:separator/>
      </w:r>
    </w:p>
  </w:endnote>
  <w:endnote w:type="continuationSeparator" w:id="0">
    <w:p w14:paraId="15952F1C" w14:textId="77777777" w:rsidR="00F728D7" w:rsidRDefault="00F728D7"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3C51B" w14:textId="77777777" w:rsidR="00F728D7" w:rsidRDefault="00F728D7" w:rsidP="000F485A">
      <w:pPr>
        <w:spacing w:after="0" w:line="240" w:lineRule="auto"/>
      </w:pPr>
      <w:r>
        <w:separator/>
      </w:r>
    </w:p>
  </w:footnote>
  <w:footnote w:type="continuationSeparator" w:id="0">
    <w:p w14:paraId="244ADB9E" w14:textId="77777777" w:rsidR="00F728D7" w:rsidRDefault="00F728D7"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B877" w14:textId="77777777" w:rsidR="00A00D7D" w:rsidRDefault="00A00D7D" w:rsidP="00A00D7D">
    <w:pPr>
      <w:pStyle w:val="Zhlav"/>
      <w:tabs>
        <w:tab w:val="left" w:pos="2580"/>
        <w:tab w:val="left" w:pos="2985"/>
        <w:tab w:val="right" w:pos="9923"/>
      </w:tabs>
      <w:ind w:left="-142" w:right="-425"/>
      <w:rPr>
        <w:rFonts w:cs="Calibri"/>
        <w:b/>
        <w:bCs/>
        <w:color w:val="FF0000"/>
      </w:rPr>
    </w:pPr>
    <w:r w:rsidRPr="00A00D7D">
      <w:rPr>
        <w:rFonts w:cs="Calibri"/>
        <w:b/>
        <w:bCs/>
        <w:color w:val="FF0000"/>
      </w:rPr>
      <w:t>Městské lesy Znojmo,</w:t>
    </w:r>
    <w:r>
      <w:rPr>
        <w:rFonts w:cs="Calibri"/>
        <w:b/>
        <w:bCs/>
        <w:color w:val="FF0000"/>
      </w:rPr>
      <w:t xml:space="preserve"> </w:t>
    </w:r>
    <w:r w:rsidRPr="00A00D7D">
      <w:rPr>
        <w:rFonts w:cs="Calibri"/>
        <w:b/>
        <w:bCs/>
        <w:color w:val="FF0000"/>
      </w:rPr>
      <w:t>příspěvková org.</w:t>
    </w:r>
  </w:p>
  <w:p w14:paraId="3E0C8D4A" w14:textId="77777777" w:rsidR="008F5CE1" w:rsidRPr="008F5CE1" w:rsidRDefault="008F5CE1" w:rsidP="00A00D7D">
    <w:pPr>
      <w:pStyle w:val="Zhlav"/>
      <w:tabs>
        <w:tab w:val="left" w:pos="2580"/>
        <w:tab w:val="left" w:pos="2985"/>
        <w:tab w:val="right" w:pos="9923"/>
      </w:tabs>
      <w:ind w:left="-142" w:right="-425"/>
      <w:rPr>
        <w:rFonts w:cs="Calibri"/>
        <w:b/>
        <w:bCs/>
        <w:color w:val="FF0000"/>
      </w:rPr>
    </w:pPr>
    <w:r w:rsidRPr="008F5CE1">
      <w:rPr>
        <w:rFonts w:ascii="Arial" w:eastAsia="Times New Roman" w:hAnsi="Arial" w:cs="Arial"/>
        <w:b/>
        <w:bCs/>
        <w:iCs/>
        <w:color w:val="FF0000"/>
        <w:sz w:val="20"/>
        <w:szCs w:val="20"/>
        <w:lang w:eastAsia="cs-CZ"/>
      </w:rPr>
      <w:t>Zpracování Lesního hospodářského plánu (LHP) pro LHC Lesy města Znojmo</w:t>
    </w:r>
    <w:r w:rsidRPr="008F5CE1">
      <w:rPr>
        <w:rFonts w:cs="Calibri"/>
        <w:b/>
        <w:bCs/>
        <w:color w:val="FF0000"/>
      </w:rPr>
      <w:t xml:space="preserve"> </w:t>
    </w:r>
  </w:p>
  <w:p w14:paraId="4D0B3C5F" w14:textId="1EB26D01" w:rsidR="000F485A" w:rsidRDefault="00A00D7D" w:rsidP="00A00D7D">
    <w:pPr>
      <w:pStyle w:val="Zhlav"/>
      <w:tabs>
        <w:tab w:val="left" w:pos="2580"/>
        <w:tab w:val="left" w:pos="2985"/>
        <w:tab w:val="right" w:pos="9923"/>
      </w:tabs>
      <w:ind w:left="-142" w:right="-425"/>
      <w:rPr>
        <w:rFonts w:cs="Calibri"/>
        <w:b/>
        <w:bCs/>
        <w:color w:val="FF0000"/>
      </w:rPr>
    </w:pPr>
    <w:r>
      <w:rPr>
        <w:rFonts w:cs="Calibri"/>
        <w:b/>
        <w:bCs/>
        <w:color w:val="FF0000"/>
      </w:rPr>
      <w:t>VZ202</w:t>
    </w:r>
    <w:r w:rsidR="005C2C8E">
      <w:rPr>
        <w:rFonts w:cs="Calibri"/>
        <w:b/>
        <w:bCs/>
        <w:color w:val="FF0000"/>
      </w:rPr>
      <w:t>4-001</w:t>
    </w:r>
  </w:p>
  <w:p w14:paraId="63320948" w14:textId="77777777" w:rsidR="00657580" w:rsidRPr="00A00D7D" w:rsidRDefault="00657580" w:rsidP="00A00D7D">
    <w:pPr>
      <w:pStyle w:val="Zhlav"/>
      <w:tabs>
        <w:tab w:val="left" w:pos="2580"/>
        <w:tab w:val="left" w:pos="2985"/>
        <w:tab w:val="right" w:pos="9923"/>
      </w:tabs>
      <w:ind w:left="-142" w:right="-425"/>
      <w:rPr>
        <w:rFonts w:cs="Calibri"/>
        <w:b/>
        <w:bCs/>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D62DE4"/>
    <w:multiLevelType w:val="hybridMultilevel"/>
    <w:tmpl w:val="9FB0C26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405D7996"/>
    <w:multiLevelType w:val="hybridMultilevel"/>
    <w:tmpl w:val="8F36B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5"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9316363">
    <w:abstractNumId w:val="0"/>
  </w:num>
  <w:num w:numId="2" w16cid:durableId="910849432">
    <w:abstractNumId w:val="3"/>
  </w:num>
  <w:num w:numId="3" w16cid:durableId="1511213556">
    <w:abstractNumId w:val="5"/>
  </w:num>
  <w:num w:numId="4" w16cid:durableId="1027218571">
    <w:abstractNumId w:val="4"/>
  </w:num>
  <w:num w:numId="5" w16cid:durableId="1669359853">
    <w:abstractNumId w:val="2"/>
  </w:num>
  <w:num w:numId="6" w16cid:durableId="131544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revisionView w:inkAnnotation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33C39"/>
    <w:rsid w:val="00050905"/>
    <w:rsid w:val="000558D2"/>
    <w:rsid w:val="0008661D"/>
    <w:rsid w:val="000B757C"/>
    <w:rsid w:val="000F485A"/>
    <w:rsid w:val="000F6567"/>
    <w:rsid w:val="00104798"/>
    <w:rsid w:val="001108EA"/>
    <w:rsid w:val="00131ABC"/>
    <w:rsid w:val="00142868"/>
    <w:rsid w:val="00180412"/>
    <w:rsid w:val="001E6458"/>
    <w:rsid w:val="002978D5"/>
    <w:rsid w:val="002B54B4"/>
    <w:rsid w:val="002F4B9D"/>
    <w:rsid w:val="003428C2"/>
    <w:rsid w:val="00343A6B"/>
    <w:rsid w:val="003E0012"/>
    <w:rsid w:val="003E061B"/>
    <w:rsid w:val="00423B01"/>
    <w:rsid w:val="00451646"/>
    <w:rsid w:val="00453488"/>
    <w:rsid w:val="0045371B"/>
    <w:rsid w:val="00496167"/>
    <w:rsid w:val="005419F7"/>
    <w:rsid w:val="005556EF"/>
    <w:rsid w:val="00585A6D"/>
    <w:rsid w:val="005B6E62"/>
    <w:rsid w:val="005C2C8E"/>
    <w:rsid w:val="005E088E"/>
    <w:rsid w:val="005F3DC7"/>
    <w:rsid w:val="00627C3C"/>
    <w:rsid w:val="00634AD9"/>
    <w:rsid w:val="00643812"/>
    <w:rsid w:val="00657580"/>
    <w:rsid w:val="006B0C26"/>
    <w:rsid w:val="006B1CE0"/>
    <w:rsid w:val="00726AC5"/>
    <w:rsid w:val="00773167"/>
    <w:rsid w:val="007A1BA5"/>
    <w:rsid w:val="007C42CF"/>
    <w:rsid w:val="007D76E1"/>
    <w:rsid w:val="008622F6"/>
    <w:rsid w:val="008705C9"/>
    <w:rsid w:val="008751FB"/>
    <w:rsid w:val="008C3C34"/>
    <w:rsid w:val="008F5CE1"/>
    <w:rsid w:val="009577BC"/>
    <w:rsid w:val="009E1E50"/>
    <w:rsid w:val="00A00D7D"/>
    <w:rsid w:val="00A9778E"/>
    <w:rsid w:val="00AE3C3C"/>
    <w:rsid w:val="00B34974"/>
    <w:rsid w:val="00B93CA3"/>
    <w:rsid w:val="00BB4604"/>
    <w:rsid w:val="00BD6E5E"/>
    <w:rsid w:val="00C443AE"/>
    <w:rsid w:val="00C60296"/>
    <w:rsid w:val="00DA154D"/>
    <w:rsid w:val="00DA4788"/>
    <w:rsid w:val="00DC784A"/>
    <w:rsid w:val="00DF782D"/>
    <w:rsid w:val="00EC5092"/>
    <w:rsid w:val="00EF26AF"/>
    <w:rsid w:val="00F728D7"/>
    <w:rsid w:val="00FA0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B44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paragraph" w:styleId="Zkladntext">
    <w:name w:val="Body Text"/>
    <w:basedOn w:val="Normln"/>
    <w:link w:val="ZkladntextChar"/>
    <w:uiPriority w:val="1"/>
    <w:qFormat/>
    <w:rsid w:val="005C2C8E"/>
    <w:pPr>
      <w:widowControl w:val="0"/>
      <w:spacing w:after="0" w:line="240" w:lineRule="auto"/>
      <w:ind w:left="113"/>
    </w:pPr>
    <w:rPr>
      <w:rFonts w:ascii="Times New Roman" w:eastAsia="Times New Roman" w:hAnsi="Times New Roman"/>
      <w:sz w:val="21"/>
      <w:szCs w:val="21"/>
      <w:lang w:val="en-US"/>
    </w:rPr>
  </w:style>
  <w:style w:type="character" w:customStyle="1" w:styleId="ZkladntextChar">
    <w:name w:val="Základní text Char"/>
    <w:basedOn w:val="Standardnpsmoodstavce"/>
    <w:link w:val="Zkladntext"/>
    <w:uiPriority w:val="1"/>
    <w:rsid w:val="005C2C8E"/>
    <w:rPr>
      <w:rFonts w:ascii="Times New Roman" w:eastAsia="Times New Roman" w:hAnsi="Times New Roman" w:cs="Times New Roman"/>
      <w:sz w:val="21"/>
      <w:szCs w:val="21"/>
      <w:lang w:val="en-US"/>
    </w:rPr>
  </w:style>
  <w:style w:type="character" w:customStyle="1" w:styleId="values1">
    <w:name w:val="values1"/>
    <w:rsid w:val="005C2C8E"/>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cs/profile/mestsky-urad-znojmo" TargetMode="Externa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5735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2024-06-20T03:55:00Z</dcterms:created>
  <dcterms:modified xsi:type="dcterms:W3CDTF">2024-07-06T13:11:00Z</dcterms:modified>
</cp:coreProperties>
</file>