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47605A" w:rsidP="00FE6F9B">
      <w:pPr>
        <w:spacing w:after="0"/>
        <w:jc w:val="right"/>
        <w:rPr>
          <w:rFonts w:cs="Arial"/>
          <w:b/>
          <w:szCs w:val="20"/>
        </w:rPr>
      </w:pPr>
      <w:r>
        <w:rPr>
          <w:rFonts w:cs="Arial"/>
          <w:b/>
          <w:szCs w:val="20"/>
        </w:rPr>
        <w:t>P</w:t>
      </w:r>
      <w:r w:rsidR="00FE6F9B" w:rsidRPr="0040378E">
        <w:rPr>
          <w:rFonts w:cs="Arial"/>
          <w:b/>
          <w:szCs w:val="20"/>
        </w:rPr>
        <w:t>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81364">
        <w:t>- časť B</w:t>
      </w:r>
      <w:r w:rsidR="003B50C8">
        <w:t xml:space="preserve"> </w:t>
      </w:r>
      <w:r w:rsidR="003B50C8" w:rsidRPr="009064B3">
        <w:t xml:space="preserve">- výzva č. </w:t>
      </w:r>
      <w:r w:rsidR="00363122">
        <w:t>1</w:t>
      </w:r>
      <w:r w:rsidR="0099639F">
        <w:t>52</w:t>
      </w:r>
      <w:r w:rsidR="009A0352">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9664DD" w:rsidRPr="0040378E" w:rsidRDefault="009664DD" w:rsidP="009664DD">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7309C6">
            <w:pPr>
              <w:spacing w:after="0" w:line="480" w:lineRule="auto"/>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DC6A99">
      <w:pPr>
        <w:spacing w:before="12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81364" w:rsidP="00F81364">
      <w:pPr>
        <w:jc w:val="center"/>
        <w:rPr>
          <w:rFonts w:cs="Arial"/>
          <w:b/>
          <w:sz w:val="28"/>
          <w:szCs w:val="28"/>
        </w:rPr>
      </w:pPr>
      <w:r w:rsidRPr="00F81364">
        <w:rPr>
          <w:rFonts w:cs="Arial"/>
          <w:b/>
          <w:sz w:val="28"/>
          <w:szCs w:val="28"/>
        </w:rPr>
        <w:t xml:space="preserve">Časť B: Ťažba a výroba sortimentov v lanovkových / </w:t>
      </w:r>
      <w:proofErr w:type="spellStart"/>
      <w:r w:rsidRPr="00F81364">
        <w:rPr>
          <w:rFonts w:cs="Arial"/>
          <w:b/>
          <w:sz w:val="28"/>
          <w:szCs w:val="28"/>
        </w:rPr>
        <w:t>ťažkoprístupných</w:t>
      </w:r>
      <w:proofErr w:type="spellEnd"/>
      <w:r w:rsidRPr="00F81364">
        <w:rPr>
          <w:rFonts w:cs="Arial"/>
          <w:b/>
          <w:sz w:val="28"/>
          <w:szCs w:val="28"/>
        </w:rPr>
        <w:t xml:space="preserve"> terénoch </w:t>
      </w:r>
      <w:proofErr w:type="spellStart"/>
      <w:r w:rsidRPr="00F81364">
        <w:rPr>
          <w:rFonts w:cs="Arial"/>
          <w:b/>
          <w:sz w:val="28"/>
          <w:szCs w:val="28"/>
        </w:rPr>
        <w:t>harvestermi</w:t>
      </w:r>
      <w:proofErr w:type="spellEnd"/>
      <w:r w:rsidRPr="00F81364">
        <w:rPr>
          <w:rFonts w:cs="Arial"/>
          <w:b/>
          <w:sz w:val="28"/>
          <w:szCs w:val="28"/>
        </w:rPr>
        <w:t xml:space="preserve"> a ich vývoz </w:t>
      </w:r>
      <w:proofErr w:type="spellStart"/>
      <w:r w:rsidRPr="00F81364">
        <w:rPr>
          <w:rFonts w:cs="Arial"/>
          <w:b/>
          <w:sz w:val="28"/>
          <w:szCs w:val="28"/>
        </w:rPr>
        <w:t>forwardermi</w:t>
      </w:r>
      <w:proofErr w:type="spellEnd"/>
      <w:r w:rsidRPr="00F81364">
        <w:rPr>
          <w:rFonts w:cs="Arial"/>
          <w:b/>
          <w:sz w:val="28"/>
          <w:szCs w:val="28"/>
        </w:rPr>
        <w:t xml:space="preserve"> z porastu z lokality peň na vývozné miesto alebo odvozné miesto, v súčinnosti s kompaktným mobilným trakčným navijakom na </w:t>
      </w:r>
      <w:r>
        <w:rPr>
          <w:rFonts w:cs="Arial"/>
          <w:b/>
          <w:sz w:val="28"/>
          <w:szCs w:val="28"/>
        </w:rPr>
        <w:br/>
      </w:r>
      <w:r w:rsidRPr="00F81364">
        <w:rPr>
          <w:rFonts w:cs="Arial"/>
          <w:b/>
          <w:sz w:val="28"/>
          <w:szCs w:val="28"/>
        </w:rPr>
        <w:t xml:space="preserve">OZ </w:t>
      </w:r>
      <w:r w:rsidR="009B24A9">
        <w:rPr>
          <w:rFonts w:cs="Arial"/>
          <w:b/>
          <w:sz w:val="28"/>
          <w:szCs w:val="28"/>
        </w:rPr>
        <w:t>Sever</w:t>
      </w:r>
      <w:r w:rsidR="007309C6">
        <w:rPr>
          <w:rFonts w:cs="Arial"/>
          <w:b/>
          <w:sz w:val="28"/>
          <w:szCs w:val="28"/>
        </w:rPr>
        <w:t>,</w:t>
      </w:r>
      <w:r>
        <w:rPr>
          <w:rFonts w:cs="Arial"/>
          <w:b/>
          <w:sz w:val="28"/>
          <w:szCs w:val="28"/>
        </w:rPr>
        <w:t xml:space="preserve"> LS </w:t>
      </w:r>
      <w:r w:rsidR="009B24A9">
        <w:rPr>
          <w:rFonts w:cs="Arial"/>
          <w:b/>
          <w:sz w:val="28"/>
          <w:szCs w:val="28"/>
        </w:rPr>
        <w:t>Čadca</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363122">
            <w:pPr>
              <w:spacing w:after="0" w:line="360" w:lineRule="auto"/>
              <w:jc w:val="both"/>
              <w:rPr>
                <w:rFonts w:cs="Arial"/>
                <w:szCs w:val="20"/>
              </w:rPr>
            </w:pPr>
            <w:r w:rsidRPr="0040378E">
              <w:rPr>
                <w:rFonts w:cs="Arial"/>
                <w:szCs w:val="20"/>
              </w:rPr>
              <w:t xml:space="preserve">Ing. </w:t>
            </w:r>
            <w:r w:rsidR="004A5A33">
              <w:rPr>
                <w:rFonts w:cs="Arial"/>
                <w:szCs w:val="20"/>
              </w:rPr>
              <w:t>Marek Buch</w:t>
            </w:r>
            <w:r w:rsidRPr="0040378E">
              <w:rPr>
                <w:rFonts w:cs="Arial"/>
                <w:szCs w:val="20"/>
              </w:rPr>
              <w:t xml:space="preserve"> </w:t>
            </w:r>
            <w:r w:rsidR="004A5A33">
              <w:rPr>
                <w:rFonts w:cs="Arial"/>
                <w:szCs w:val="20"/>
              </w:rPr>
              <w:t>–</w:t>
            </w:r>
            <w:r w:rsidR="00363122">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lastRenderedPageBreak/>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Default="00FE6F9B" w:rsidP="00FE6F9B">
      <w:pPr>
        <w:spacing w:after="0"/>
        <w:jc w:val="center"/>
        <w:rPr>
          <w:b/>
        </w:rPr>
      </w:pPr>
      <w:r w:rsidRPr="0040378E">
        <w:rPr>
          <w:b/>
        </w:rPr>
        <w:t>PREDMET ZMLUVY O</w:t>
      </w:r>
      <w:r w:rsidR="00C11EF5">
        <w:rPr>
          <w:b/>
        </w:rPr>
        <w:t> </w:t>
      </w:r>
      <w:r w:rsidRPr="0040378E">
        <w:rPr>
          <w:b/>
        </w:rPr>
        <w:t>DIELO</w:t>
      </w:r>
    </w:p>
    <w:p w:rsidR="00C11EF5" w:rsidRPr="0040378E" w:rsidRDefault="00C11EF5" w:rsidP="00FE6F9B">
      <w:pPr>
        <w:spacing w:after="0"/>
        <w:jc w:val="center"/>
        <w:rPr>
          <w:b/>
        </w:rPr>
      </w:pP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81364" w:rsidRPr="00E50436">
        <w:rPr>
          <w:rFonts w:ascii="Arial" w:hAnsi="Arial" w:cs="Arial"/>
          <w:b/>
          <w:sz w:val="20"/>
          <w:lang w:val="sk-SK"/>
        </w:rPr>
        <w:t xml:space="preserve">Ťažba a výroba sortimentov v lanovkových / </w:t>
      </w:r>
      <w:proofErr w:type="spellStart"/>
      <w:r w:rsidR="00F81364" w:rsidRPr="00E50436">
        <w:rPr>
          <w:rFonts w:ascii="Arial" w:hAnsi="Arial" w:cs="Arial"/>
          <w:b/>
          <w:sz w:val="20"/>
          <w:lang w:val="sk-SK"/>
        </w:rPr>
        <w:t>ťažkoprístupných</w:t>
      </w:r>
      <w:proofErr w:type="spellEnd"/>
      <w:r w:rsidR="00F81364" w:rsidRPr="00E50436">
        <w:rPr>
          <w:rFonts w:ascii="Arial" w:hAnsi="Arial" w:cs="Arial"/>
          <w:b/>
          <w:sz w:val="20"/>
          <w:lang w:val="sk-SK"/>
        </w:rPr>
        <w:t xml:space="preserve"> terénoch </w:t>
      </w:r>
      <w:proofErr w:type="spellStart"/>
      <w:r w:rsidR="00F81364" w:rsidRPr="00E50436">
        <w:rPr>
          <w:rFonts w:ascii="Arial" w:hAnsi="Arial" w:cs="Arial"/>
          <w:b/>
          <w:sz w:val="20"/>
          <w:lang w:val="sk-SK"/>
        </w:rPr>
        <w:t>harvestermi</w:t>
      </w:r>
      <w:proofErr w:type="spellEnd"/>
      <w:r w:rsidR="00F81364" w:rsidRPr="00E50436">
        <w:rPr>
          <w:rFonts w:ascii="Arial" w:hAnsi="Arial" w:cs="Arial"/>
          <w:b/>
          <w:sz w:val="20"/>
          <w:lang w:val="sk-SK"/>
        </w:rPr>
        <w:t xml:space="preserve"> a ich vývoz </w:t>
      </w:r>
      <w:proofErr w:type="spellStart"/>
      <w:r w:rsidR="00F81364" w:rsidRPr="00E50436">
        <w:rPr>
          <w:rFonts w:ascii="Arial" w:hAnsi="Arial" w:cs="Arial"/>
          <w:b/>
          <w:sz w:val="20"/>
          <w:lang w:val="sk-SK"/>
        </w:rPr>
        <w:t>forwardermi</w:t>
      </w:r>
      <w:proofErr w:type="spellEnd"/>
      <w:r w:rsidR="00F81364" w:rsidRPr="00E50436">
        <w:rPr>
          <w:rFonts w:ascii="Arial" w:hAnsi="Arial" w:cs="Arial"/>
          <w:b/>
          <w:sz w:val="20"/>
          <w:lang w:val="sk-SK"/>
        </w:rPr>
        <w:t xml:space="preserve"> z porastu z lokality peň na vývozné miesto alebo odvozné miesto, v súčinnosti s kompaktným mobilným trakčným navijakom na </w:t>
      </w:r>
      <w:r w:rsidR="00F81364" w:rsidRPr="0020269E">
        <w:rPr>
          <w:rFonts w:ascii="Arial" w:hAnsi="Arial" w:cs="Arial"/>
          <w:b/>
          <w:sz w:val="20"/>
          <w:lang w:val="sk-SK"/>
        </w:rPr>
        <w:t xml:space="preserve">OZ </w:t>
      </w:r>
      <w:r w:rsidR="009B24A9">
        <w:rPr>
          <w:rFonts w:ascii="Arial" w:hAnsi="Arial" w:cs="Arial"/>
          <w:b/>
          <w:sz w:val="20"/>
          <w:lang w:val="sk-SK"/>
        </w:rPr>
        <w:t>Sever</w:t>
      </w:r>
      <w:r w:rsidR="00F81364">
        <w:rPr>
          <w:rFonts w:ascii="Arial" w:hAnsi="Arial" w:cs="Arial"/>
          <w:b/>
          <w:sz w:val="20"/>
          <w:lang w:val="sk-SK"/>
        </w:rPr>
        <w:t xml:space="preserve">, LS </w:t>
      </w:r>
      <w:r w:rsidR="009B24A9">
        <w:rPr>
          <w:rFonts w:ascii="Arial" w:hAnsi="Arial" w:cs="Arial"/>
          <w:b/>
          <w:sz w:val="20"/>
          <w:lang w:val="sk-SK"/>
        </w:rPr>
        <w:t>Čadca</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w:t>
      </w:r>
      <w:r w:rsidRPr="0040378E">
        <w:rPr>
          <w:rFonts w:ascii="Arial" w:hAnsi="Arial" w:cs="Arial"/>
          <w:sz w:val="20"/>
          <w:lang w:val="sk-SK"/>
        </w:rPr>
        <w:lastRenderedPageBreak/>
        <w:t>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Default="00FE6F9B" w:rsidP="00FE6F9B">
      <w:pPr>
        <w:spacing w:after="0"/>
        <w:jc w:val="center"/>
        <w:rPr>
          <w:b/>
        </w:rPr>
      </w:pPr>
      <w:r w:rsidRPr="0040378E">
        <w:rPr>
          <w:b/>
        </w:rPr>
        <w:t>ČAS VYKONANIA PREDMETU DOHODY</w:t>
      </w:r>
    </w:p>
    <w:p w:rsidR="00C11EF5" w:rsidRPr="0040378E" w:rsidRDefault="00C11EF5" w:rsidP="00FE6F9B">
      <w:pPr>
        <w:spacing w:after="0"/>
        <w:jc w:val="center"/>
        <w:rPr>
          <w:b/>
        </w:rPr>
      </w:pP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9B24A9" w:rsidRPr="009B24A9">
        <w:rPr>
          <w:rFonts w:ascii="Arial" w:hAnsi="Arial" w:cs="Arial"/>
          <w:b/>
          <w:sz w:val="20"/>
          <w:lang w:val="sk-SK"/>
        </w:rPr>
        <w:t>do</w:t>
      </w:r>
      <w:r w:rsidR="009B24A9">
        <w:rPr>
          <w:rFonts w:ascii="Arial" w:hAnsi="Arial" w:cs="Arial"/>
          <w:sz w:val="20"/>
          <w:lang w:val="sk-SK"/>
        </w:rPr>
        <w:t xml:space="preserve"> </w:t>
      </w:r>
      <w:r w:rsidR="009B24A9" w:rsidRPr="009B24A9">
        <w:rPr>
          <w:rFonts w:ascii="Arial" w:hAnsi="Arial" w:cs="Arial"/>
          <w:b/>
          <w:sz w:val="20"/>
          <w:lang w:val="sk-SK"/>
        </w:rPr>
        <w:t>31.10.</w:t>
      </w:r>
      <w:r w:rsidR="003D62D8" w:rsidRPr="009B24A9">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Default="00FE6F9B" w:rsidP="00FE6F9B">
      <w:pPr>
        <w:spacing w:after="0"/>
        <w:jc w:val="center"/>
        <w:rPr>
          <w:rFonts w:cs="Arial"/>
          <w:b/>
          <w:szCs w:val="20"/>
        </w:rPr>
      </w:pPr>
      <w:r w:rsidRPr="0040378E">
        <w:rPr>
          <w:rFonts w:cs="Arial"/>
          <w:b/>
          <w:szCs w:val="20"/>
        </w:rPr>
        <w:t xml:space="preserve">MIESTO ČIASTKOVÉHO PLNENIA </w:t>
      </w:r>
    </w:p>
    <w:p w:rsidR="00C11EF5" w:rsidRPr="0040378E" w:rsidRDefault="00C11EF5" w:rsidP="00FE6F9B">
      <w:pPr>
        <w:spacing w:after="0"/>
        <w:jc w:val="center"/>
        <w:rPr>
          <w:rFonts w:cs="Arial"/>
          <w:b/>
          <w:szCs w:val="20"/>
        </w:rPr>
      </w:pP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Default="00FE6F9B" w:rsidP="00FE6F9B">
      <w:pPr>
        <w:spacing w:after="0"/>
        <w:jc w:val="center"/>
        <w:rPr>
          <w:rFonts w:cs="Arial"/>
          <w:b/>
          <w:szCs w:val="20"/>
        </w:rPr>
      </w:pPr>
      <w:r w:rsidRPr="0040378E">
        <w:rPr>
          <w:rFonts w:cs="Arial"/>
          <w:b/>
          <w:szCs w:val="20"/>
        </w:rPr>
        <w:t>ZADÁVANIE ČIASTKOVÝCH PLNENÍ</w:t>
      </w:r>
    </w:p>
    <w:p w:rsidR="00C11EF5" w:rsidRPr="0040378E" w:rsidRDefault="00C11EF5" w:rsidP="00FE6F9B">
      <w:pPr>
        <w:spacing w:after="0"/>
        <w:jc w:val="center"/>
        <w:rPr>
          <w:rFonts w:cs="Arial"/>
          <w:b/>
          <w:szCs w:val="20"/>
        </w:rPr>
      </w:pP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w:t>
      </w:r>
      <w:r w:rsidRPr="0040378E">
        <w:rPr>
          <w:rFonts w:ascii="Arial" w:hAnsi="Arial" w:cs="Arial"/>
          <w:sz w:val="20"/>
          <w:lang w:val="sk-SK"/>
        </w:rPr>
        <w:lastRenderedPageBreak/>
        <w:t xml:space="preserve">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Default="00FE6F9B" w:rsidP="00FE6F9B">
      <w:pPr>
        <w:spacing w:after="0"/>
        <w:jc w:val="center"/>
        <w:rPr>
          <w:b/>
        </w:rPr>
      </w:pPr>
      <w:r w:rsidRPr="0040378E">
        <w:rPr>
          <w:b/>
        </w:rPr>
        <w:t>CENA ZA PREDMET PLNENIA</w:t>
      </w:r>
    </w:p>
    <w:p w:rsidR="00C11EF5" w:rsidRPr="0040378E" w:rsidRDefault="00C11EF5" w:rsidP="00FE6F9B">
      <w:pPr>
        <w:spacing w:after="0"/>
        <w:jc w:val="center"/>
        <w:rPr>
          <w:b/>
        </w:rPr>
      </w:pP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Default="00FE6F9B" w:rsidP="00FE6F9B">
      <w:pPr>
        <w:spacing w:after="0"/>
        <w:jc w:val="center"/>
        <w:rPr>
          <w:b/>
        </w:rPr>
      </w:pPr>
      <w:r w:rsidRPr="0040378E">
        <w:rPr>
          <w:b/>
        </w:rPr>
        <w:t>PLATOBNÉ  PODMIENKY</w:t>
      </w:r>
    </w:p>
    <w:p w:rsidR="00C11EF5" w:rsidRPr="0040378E" w:rsidRDefault="00C11EF5" w:rsidP="00FE6F9B">
      <w:pPr>
        <w:spacing w:after="0"/>
        <w:jc w:val="center"/>
        <w:rPr>
          <w:b/>
        </w:rPr>
      </w:pP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w:t>
      </w:r>
      <w:r w:rsidRPr="0040378E">
        <w:rPr>
          <w:rFonts w:ascii="Arial" w:hAnsi="Arial" w:cs="Arial"/>
          <w:sz w:val="20"/>
          <w:lang w:val="sk-SK"/>
        </w:rPr>
        <w:lastRenderedPageBreak/>
        <w:t>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Default="00FE6F9B" w:rsidP="00FE6F9B">
      <w:pPr>
        <w:pStyle w:val="Zkladntext2"/>
        <w:spacing w:before="0" w:after="0"/>
        <w:jc w:val="center"/>
        <w:rPr>
          <w:b/>
          <w:sz w:val="20"/>
          <w:szCs w:val="20"/>
        </w:rPr>
      </w:pPr>
      <w:r w:rsidRPr="0040378E">
        <w:rPr>
          <w:b/>
          <w:sz w:val="20"/>
          <w:szCs w:val="20"/>
        </w:rPr>
        <w:t>UKONČENIE ZMLUVY</w:t>
      </w:r>
    </w:p>
    <w:p w:rsidR="00C11EF5" w:rsidRPr="0040378E" w:rsidRDefault="00C11EF5" w:rsidP="00FE6F9B">
      <w:pPr>
        <w:pStyle w:val="Zkladntext2"/>
        <w:spacing w:before="0" w:after="0"/>
        <w:jc w:val="center"/>
        <w:rPr>
          <w:b/>
          <w:sz w:val="20"/>
          <w:szCs w:val="20"/>
        </w:rPr>
      </w:pP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Default="00FE6F9B" w:rsidP="00FE6F9B">
      <w:pPr>
        <w:spacing w:after="0"/>
        <w:jc w:val="center"/>
        <w:rPr>
          <w:rFonts w:cs="Arial"/>
          <w:b/>
          <w:szCs w:val="20"/>
        </w:rPr>
      </w:pPr>
      <w:r w:rsidRPr="0040378E">
        <w:rPr>
          <w:rFonts w:cs="Arial"/>
          <w:b/>
          <w:szCs w:val="20"/>
        </w:rPr>
        <w:t>PREBRATIE A VYKONANIE PREDMETU ZMLUVY</w:t>
      </w:r>
    </w:p>
    <w:p w:rsidR="00C11EF5" w:rsidRPr="0040378E" w:rsidRDefault="00C11EF5" w:rsidP="00FE6F9B">
      <w:pPr>
        <w:spacing w:after="0"/>
        <w:jc w:val="center"/>
        <w:rPr>
          <w:rFonts w:cs="Arial"/>
          <w:b/>
          <w:szCs w:val="20"/>
        </w:rPr>
      </w:pP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w:t>
      </w:r>
      <w:r w:rsidRPr="0040378E">
        <w:rPr>
          <w:rFonts w:ascii="Arial" w:hAnsi="Arial" w:cs="Arial"/>
          <w:sz w:val="20"/>
          <w:lang w:val="sk-SK"/>
        </w:rPr>
        <w:lastRenderedPageBreak/>
        <w:t>(inšpektorát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Default="00FE6F9B" w:rsidP="00FE6F9B">
      <w:pPr>
        <w:spacing w:after="0"/>
        <w:jc w:val="center"/>
        <w:rPr>
          <w:b/>
        </w:rPr>
      </w:pPr>
      <w:r w:rsidRPr="0040378E">
        <w:rPr>
          <w:b/>
        </w:rPr>
        <w:t>ZMLUVNÉ POKUTY</w:t>
      </w:r>
    </w:p>
    <w:p w:rsidR="00C11EF5" w:rsidRPr="0040378E" w:rsidRDefault="00C11EF5" w:rsidP="00FE6F9B">
      <w:pPr>
        <w:spacing w:after="0"/>
        <w:jc w:val="center"/>
        <w:rPr>
          <w:b/>
        </w:rPr>
      </w:pP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C11EF5" w:rsidRPr="00C11EF5"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C11EF5" w:rsidRPr="0040378E" w:rsidRDefault="00C11EF5"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Default="00FE6F9B" w:rsidP="00FE6F9B">
      <w:pPr>
        <w:spacing w:after="0"/>
        <w:jc w:val="center"/>
        <w:rPr>
          <w:b/>
        </w:rPr>
      </w:pPr>
      <w:r w:rsidRPr="0040378E">
        <w:rPr>
          <w:b/>
        </w:rPr>
        <w:t>NÁHRADA ŠKODY</w:t>
      </w:r>
    </w:p>
    <w:p w:rsidR="00C11EF5" w:rsidRPr="0040378E" w:rsidRDefault="00C11EF5" w:rsidP="00FE6F9B">
      <w:pPr>
        <w:spacing w:after="0"/>
        <w:jc w:val="center"/>
        <w:rPr>
          <w:b/>
        </w:rPr>
      </w:pP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C11EF5" w:rsidRPr="0040378E" w:rsidRDefault="00FE6F9B" w:rsidP="00C11EF5">
      <w:pPr>
        <w:spacing w:after="0"/>
        <w:jc w:val="center"/>
        <w:rPr>
          <w:b/>
        </w:rPr>
      </w:pPr>
      <w:r w:rsidRPr="0040378E">
        <w:rPr>
          <w:b/>
        </w:rPr>
        <w:t>Čl. 12</w:t>
      </w:r>
    </w:p>
    <w:p w:rsidR="00FE6F9B" w:rsidRDefault="00FE6F9B" w:rsidP="00FE6F9B">
      <w:pPr>
        <w:spacing w:after="0"/>
        <w:jc w:val="center"/>
        <w:rPr>
          <w:b/>
        </w:rPr>
      </w:pPr>
      <w:r w:rsidRPr="0040378E">
        <w:rPr>
          <w:b/>
        </w:rPr>
        <w:t>ZODPOVEDNOSŤ ZA ŠKODU</w:t>
      </w:r>
    </w:p>
    <w:p w:rsidR="00C11EF5" w:rsidRPr="0040378E" w:rsidRDefault="00C11EF5" w:rsidP="00FE6F9B">
      <w:pPr>
        <w:spacing w:after="0"/>
        <w:jc w:val="center"/>
        <w:rPr>
          <w:b/>
        </w:rPr>
      </w:pP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Default="00FE6F9B" w:rsidP="00FE6F9B">
      <w:pPr>
        <w:spacing w:after="0"/>
        <w:jc w:val="center"/>
        <w:rPr>
          <w:b/>
        </w:rPr>
      </w:pPr>
      <w:r w:rsidRPr="0040378E">
        <w:rPr>
          <w:b/>
        </w:rPr>
        <w:t>CERTIFIKÁTY A</w:t>
      </w:r>
      <w:r w:rsidR="00C11EF5">
        <w:rPr>
          <w:b/>
        </w:rPr>
        <w:t> </w:t>
      </w:r>
      <w:r w:rsidRPr="0040378E">
        <w:rPr>
          <w:b/>
        </w:rPr>
        <w:t>OSVEDČENIA</w:t>
      </w:r>
    </w:p>
    <w:p w:rsidR="00C11EF5" w:rsidRPr="0040378E" w:rsidRDefault="00C11EF5" w:rsidP="00FE6F9B">
      <w:pPr>
        <w:spacing w:after="0"/>
        <w:jc w:val="center"/>
        <w:rPr>
          <w:b/>
        </w:rPr>
      </w:pP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Default="00FE6F9B" w:rsidP="00FE6F9B">
      <w:pPr>
        <w:spacing w:after="0"/>
        <w:jc w:val="center"/>
        <w:rPr>
          <w:b/>
          <w:caps/>
        </w:rPr>
      </w:pPr>
      <w:r w:rsidRPr="009664DD">
        <w:rPr>
          <w:b/>
          <w:caps/>
        </w:rPr>
        <w:t>Osobitné podmienky plnenia zmluvy (tzv. doložka plnenia zmluvy)</w:t>
      </w:r>
    </w:p>
    <w:p w:rsidR="00C11EF5" w:rsidRPr="009664DD" w:rsidRDefault="00C11EF5" w:rsidP="00FE6F9B">
      <w:pPr>
        <w:spacing w:after="0"/>
        <w:jc w:val="center"/>
        <w:rPr>
          <w:b/>
          <w:caps/>
        </w:rPr>
      </w:pP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C11EF5" w:rsidRPr="0040378E" w:rsidRDefault="00C11EF5" w:rsidP="00FE6F9B">
      <w:pPr>
        <w:spacing w:after="0"/>
        <w:jc w:val="center"/>
        <w:rPr>
          <w:b/>
        </w:rPr>
      </w:pPr>
    </w:p>
    <w:p w:rsidR="00FE6F9B" w:rsidRPr="0040378E" w:rsidRDefault="00FE6F9B" w:rsidP="00FE6F9B">
      <w:pPr>
        <w:spacing w:after="0"/>
        <w:jc w:val="center"/>
        <w:rPr>
          <w:b/>
        </w:rPr>
      </w:pPr>
      <w:r w:rsidRPr="0040378E">
        <w:rPr>
          <w:b/>
        </w:rPr>
        <w:t>Čl. 15</w:t>
      </w:r>
    </w:p>
    <w:p w:rsidR="00FE6F9B" w:rsidRDefault="00FE6F9B" w:rsidP="00FE6F9B">
      <w:pPr>
        <w:spacing w:after="0"/>
        <w:jc w:val="center"/>
        <w:rPr>
          <w:b/>
        </w:rPr>
      </w:pPr>
      <w:r w:rsidRPr="0040378E">
        <w:rPr>
          <w:b/>
        </w:rPr>
        <w:t>ZÁVEREČNÉ USTANOVENIA</w:t>
      </w:r>
    </w:p>
    <w:p w:rsidR="00C11EF5" w:rsidRPr="0040378E" w:rsidRDefault="00C11EF5" w:rsidP="00FE6F9B">
      <w:pPr>
        <w:spacing w:after="0"/>
        <w:jc w:val="center"/>
        <w:rPr>
          <w:b/>
        </w:rPr>
      </w:pP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4A5A33">
              <w:rPr>
                <w:rFonts w:cs="Arial"/>
                <w:b/>
                <w:szCs w:val="20"/>
              </w:rPr>
              <w:t>Marek Buch</w:t>
            </w:r>
          </w:p>
          <w:p w:rsidR="00FE6F9B" w:rsidRPr="0040378E" w:rsidRDefault="00FE6F9B" w:rsidP="004A5A33">
            <w:pPr>
              <w:spacing w:after="0"/>
              <w:jc w:val="center"/>
              <w:rPr>
                <w:rFonts w:cs="Arial"/>
                <w:szCs w:val="20"/>
              </w:rPr>
            </w:pPr>
            <w:r w:rsidRPr="0040378E">
              <w:rPr>
                <w:rFonts w:cs="Arial"/>
                <w:szCs w:val="20"/>
              </w:rPr>
              <w:t xml:space="preserve">riaditeľ </w:t>
            </w:r>
            <w:r w:rsidR="004A5A33">
              <w:rPr>
                <w:rFonts w:cs="Arial"/>
                <w:szCs w:val="20"/>
              </w:rPr>
              <w:t>OZLT</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rsidSect="008C2415">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FD7" w:rsidRDefault="00027FD7" w:rsidP="00FE6F9B">
      <w:pPr>
        <w:spacing w:after="0"/>
      </w:pPr>
      <w:r>
        <w:separator/>
      </w:r>
    </w:p>
  </w:endnote>
  <w:endnote w:type="continuationSeparator" w:id="0">
    <w:p w:rsidR="00027FD7" w:rsidRDefault="00027FD7"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FD7" w:rsidRDefault="00027FD7" w:rsidP="00FE6F9B">
      <w:pPr>
        <w:spacing w:after="0"/>
      </w:pPr>
      <w:r>
        <w:separator/>
      </w:r>
    </w:p>
  </w:footnote>
  <w:footnote w:type="continuationSeparator" w:id="0">
    <w:p w:rsidR="00027FD7" w:rsidRDefault="00027FD7"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600806" w:rsidTr="00FB4237">
      <w:tc>
        <w:tcPr>
          <w:tcW w:w="1271" w:type="dxa"/>
        </w:tcPr>
        <w:p w:rsidR="00600806" w:rsidRDefault="00600806"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600806" w:rsidRDefault="00600806"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600806" w:rsidRPr="007C3D49" w:rsidRDefault="00600806" w:rsidP="00FE6F9B">
          <w:pPr>
            <w:pStyle w:val="Nadpis4"/>
            <w:tabs>
              <w:tab w:val="clear" w:pos="576"/>
            </w:tabs>
            <w:outlineLvl w:val="3"/>
            <w:rPr>
              <w:color w:val="005941"/>
              <w:sz w:val="24"/>
            </w:rPr>
          </w:pPr>
          <w:r w:rsidRPr="007C3D49">
            <w:rPr>
              <w:color w:val="005941"/>
              <w:sz w:val="24"/>
            </w:rPr>
            <w:t>generálne riaditeľstvo</w:t>
          </w:r>
        </w:p>
        <w:p w:rsidR="00600806" w:rsidRDefault="00600806" w:rsidP="00FE6F9B">
          <w:pPr>
            <w:pStyle w:val="Nadpis4"/>
            <w:tabs>
              <w:tab w:val="clear" w:pos="576"/>
            </w:tabs>
            <w:outlineLvl w:val="3"/>
          </w:pPr>
          <w:r w:rsidRPr="007C3D49">
            <w:rPr>
              <w:color w:val="005941"/>
              <w:sz w:val="24"/>
            </w:rPr>
            <w:t>Námestie SNP 8, 975 66 Banská Bystrica</w:t>
          </w:r>
        </w:p>
      </w:tc>
    </w:tr>
  </w:tbl>
  <w:p w:rsidR="00600806" w:rsidRDefault="00600806"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27FD7"/>
    <w:rsid w:val="00047F8F"/>
    <w:rsid w:val="00090417"/>
    <w:rsid w:val="000B637D"/>
    <w:rsid w:val="000D1485"/>
    <w:rsid w:val="00111F6C"/>
    <w:rsid w:val="001579D4"/>
    <w:rsid w:val="00165F0C"/>
    <w:rsid w:val="001B3677"/>
    <w:rsid w:val="001E05B0"/>
    <w:rsid w:val="002454F3"/>
    <w:rsid w:val="00275FBE"/>
    <w:rsid w:val="00292B72"/>
    <w:rsid w:val="002B4A15"/>
    <w:rsid w:val="00327DF5"/>
    <w:rsid w:val="003442D2"/>
    <w:rsid w:val="00363122"/>
    <w:rsid w:val="003B50C8"/>
    <w:rsid w:val="003D62D8"/>
    <w:rsid w:val="003F2A64"/>
    <w:rsid w:val="00471BB7"/>
    <w:rsid w:val="0047605A"/>
    <w:rsid w:val="00480F4B"/>
    <w:rsid w:val="00490251"/>
    <w:rsid w:val="004A5A33"/>
    <w:rsid w:val="005554EC"/>
    <w:rsid w:val="00593A36"/>
    <w:rsid w:val="005A0465"/>
    <w:rsid w:val="005B3823"/>
    <w:rsid w:val="005B5BDF"/>
    <w:rsid w:val="00600806"/>
    <w:rsid w:val="00625319"/>
    <w:rsid w:val="00636F9A"/>
    <w:rsid w:val="00652A16"/>
    <w:rsid w:val="00662A20"/>
    <w:rsid w:val="00712059"/>
    <w:rsid w:val="007232CB"/>
    <w:rsid w:val="007309C6"/>
    <w:rsid w:val="00735A3A"/>
    <w:rsid w:val="00773FEF"/>
    <w:rsid w:val="0079508E"/>
    <w:rsid w:val="007A4254"/>
    <w:rsid w:val="007C3E5A"/>
    <w:rsid w:val="008401D1"/>
    <w:rsid w:val="008C2415"/>
    <w:rsid w:val="008D4942"/>
    <w:rsid w:val="008D640F"/>
    <w:rsid w:val="009064B3"/>
    <w:rsid w:val="00924F98"/>
    <w:rsid w:val="00944F55"/>
    <w:rsid w:val="009455B9"/>
    <w:rsid w:val="009664DD"/>
    <w:rsid w:val="00993598"/>
    <w:rsid w:val="0099639F"/>
    <w:rsid w:val="009A0352"/>
    <w:rsid w:val="009A10CA"/>
    <w:rsid w:val="009A3DE3"/>
    <w:rsid w:val="009B24A9"/>
    <w:rsid w:val="009B6910"/>
    <w:rsid w:val="009C65E1"/>
    <w:rsid w:val="00A15B06"/>
    <w:rsid w:val="00A2410C"/>
    <w:rsid w:val="00A6088E"/>
    <w:rsid w:val="00AE43E4"/>
    <w:rsid w:val="00B14126"/>
    <w:rsid w:val="00BB4628"/>
    <w:rsid w:val="00C11EF5"/>
    <w:rsid w:val="00C26237"/>
    <w:rsid w:val="00C60EC8"/>
    <w:rsid w:val="00C772A5"/>
    <w:rsid w:val="00D018CC"/>
    <w:rsid w:val="00D1452A"/>
    <w:rsid w:val="00D21C84"/>
    <w:rsid w:val="00D21C9D"/>
    <w:rsid w:val="00D40F3F"/>
    <w:rsid w:val="00DA73CA"/>
    <w:rsid w:val="00DB1C44"/>
    <w:rsid w:val="00DC5E1C"/>
    <w:rsid w:val="00DC6A99"/>
    <w:rsid w:val="00DD7D83"/>
    <w:rsid w:val="00E2629C"/>
    <w:rsid w:val="00E35997"/>
    <w:rsid w:val="00E63400"/>
    <w:rsid w:val="00E95047"/>
    <w:rsid w:val="00EB58CA"/>
    <w:rsid w:val="00EB5A5B"/>
    <w:rsid w:val="00ED3A56"/>
    <w:rsid w:val="00F515B5"/>
    <w:rsid w:val="00F712F5"/>
    <w:rsid w:val="00F81364"/>
    <w:rsid w:val="00FA3F2B"/>
    <w:rsid w:val="00FB4237"/>
    <w:rsid w:val="00FC374D"/>
    <w:rsid w:val="00FC6C8A"/>
    <w:rsid w:val="00FE447D"/>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4E3BB"/>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5634</Words>
  <Characters>32119</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2024-07-23T12:22:00Z</cp:lastPrinted>
  <dcterms:created xsi:type="dcterms:W3CDTF">2024-07-23T12:22:00Z</dcterms:created>
  <dcterms:modified xsi:type="dcterms:W3CDTF">2024-07-23T12:22:00Z</dcterms:modified>
</cp:coreProperties>
</file>