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5608C1" w:rsidRDefault="00396D84" w:rsidP="00396D84">
      <w:pPr>
        <w:pStyle w:val="Odsekzoznamu"/>
        <w:spacing w:after="200" w:line="276" w:lineRule="auto"/>
        <w:ind w:left="681"/>
        <w:jc w:val="both"/>
        <w:rPr>
          <w:rFonts w:ascii="Arial Narrow" w:eastAsia="Arial" w:hAnsi="Arial Narrow"/>
          <w:color w:val="4472C4" w:themeColor="accent1"/>
          <w:highlight w:val="yellow"/>
        </w:rPr>
      </w:pPr>
      <w:r w:rsidRPr="005608C1">
        <w:rPr>
          <w:rFonts w:ascii="Arial Narrow" w:eastAsia="Arial" w:hAnsi="Arial Narrow"/>
          <w:color w:val="4472C4" w:themeColor="accent1"/>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5608C1">
        <w:rPr>
          <w:rFonts w:ascii="Arial Narrow" w:eastAsia="Arial" w:hAnsi="Arial Narrow"/>
          <w:b/>
          <w:bCs/>
          <w:color w:val="4472C4" w:themeColor="accent1"/>
        </w:rPr>
        <w:t>Takáto osoba je definovaná v §32 ods. 8 zákona.</w:t>
      </w:r>
    </w:p>
    <w:p w14:paraId="1A9E9F6F" w14:textId="77777777" w:rsidR="005608C1"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A10286"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 xml:space="preserve">Splnenie podmienky účasti podľa prvej vety preukazuje uchádzač alebo záujemca  predložením </w:t>
      </w:r>
      <w:r w:rsidRPr="00A10286">
        <w:rPr>
          <w:rFonts w:ascii="Arial Narrow" w:eastAsia="Arial" w:hAnsi="Arial Narrow"/>
          <w:b/>
          <w:bCs/>
          <w:color w:val="4472C4" w:themeColor="accent1"/>
        </w:rPr>
        <w:t>čestného vyhlásenia</w:t>
      </w:r>
      <w:r w:rsidRPr="00A10286">
        <w:rPr>
          <w:rFonts w:ascii="Arial Narrow" w:eastAsia="Arial" w:hAnsi="Arial Narrow"/>
          <w:color w:val="4472C4" w:themeColor="accent1"/>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V čestnom vyhlásení alebo vyhlásení uchádzač alebo záujemca uvedie zoznam osôb podľa prvej vety.</w:t>
      </w:r>
    </w:p>
    <w:p w14:paraId="4A4424F5" w14:textId="77777777" w:rsidR="00A10286" w:rsidRDefault="00A10286" w:rsidP="00396D84">
      <w:pPr>
        <w:pStyle w:val="Odsekzoznamu"/>
        <w:spacing w:after="200" w:line="276" w:lineRule="auto"/>
        <w:ind w:left="681"/>
        <w:jc w:val="both"/>
        <w:rPr>
          <w:rFonts w:ascii="Arial Narrow" w:eastAsia="Arial" w:hAnsi="Arial Narrow"/>
          <w:color w:val="4472C4" w:themeColor="accent1"/>
        </w:rPr>
      </w:pPr>
    </w:p>
    <w:p w14:paraId="5215BEF7" w14:textId="1F746CB0" w:rsidR="00A10286" w:rsidRPr="00043ED5" w:rsidRDefault="00A10286" w:rsidP="00396D84">
      <w:pPr>
        <w:pStyle w:val="Odsekzoznamu"/>
        <w:spacing w:after="200" w:line="276" w:lineRule="auto"/>
        <w:ind w:left="681"/>
        <w:jc w:val="both"/>
        <w:rPr>
          <w:rFonts w:ascii="Arial Narrow" w:eastAsia="Arial" w:hAnsi="Arial Narrow"/>
          <w:color w:val="4472C4" w:themeColor="accent1"/>
          <w:u w:val="single"/>
        </w:rPr>
      </w:pPr>
      <w:r w:rsidRPr="00043ED5">
        <w:rPr>
          <w:rFonts w:ascii="Arial Narrow" w:eastAsia="Arial" w:hAnsi="Arial Narrow"/>
          <w:color w:val="4472C4" w:themeColor="accent1"/>
          <w:u w:val="single"/>
        </w:rPr>
        <w:t>Predmetné čestné vyhlásenie uchádzač vyplní podľa vzoru uvedeného v prílohe č. 6</w:t>
      </w:r>
      <w:r w:rsidR="00043ED5" w:rsidRPr="00043ED5">
        <w:rPr>
          <w:rFonts w:ascii="Arial Narrow" w:eastAsia="Arial" w:hAnsi="Arial Narrow"/>
          <w:color w:val="4472C4" w:themeColor="accent1"/>
          <w:u w:val="single"/>
        </w:rPr>
        <w:t>a</w:t>
      </w:r>
      <w:r w:rsidRPr="00043ED5">
        <w:rPr>
          <w:rFonts w:ascii="Arial Narrow" w:eastAsia="Arial" w:hAnsi="Arial Narrow"/>
          <w:color w:val="4472C4" w:themeColor="accent1"/>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563073BA"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w:t>
      </w:r>
      <w:r w:rsidRPr="006A7B7F">
        <w:rPr>
          <w:rFonts w:ascii="Arial Narrow" w:hAnsi="Arial Narrow"/>
        </w:rPr>
        <w:t>hospodárskych subjektov</w:t>
      </w:r>
      <w:r w:rsidR="00C56FC2" w:rsidRPr="006A7B7F">
        <w:rPr>
          <w:rFonts w:ascii="Arial Narrow" w:hAnsi="Arial Narrow"/>
        </w:rPr>
        <w:t xml:space="preserve"> </w:t>
      </w:r>
      <w:r w:rsidR="00C56FC2" w:rsidRPr="006A7B7F">
        <w:rPr>
          <w:rStyle w:val="normaltextrun"/>
          <w:rFonts w:ascii="Arial Narrow" w:hAnsi="Arial Narrow" w:cs="Segoe UI"/>
          <w:u w:val="single"/>
          <w:shd w:val="clear" w:color="auto" w:fill="FFFFFF"/>
        </w:rPr>
        <w:t>(Čestné vyhlásenie podľa prílohy č. 6a je potrebné predkladať vždy).</w:t>
      </w:r>
      <w:r w:rsidRPr="006A7B7F">
        <w:rPr>
          <w:rFonts w:ascii="Arial Narrow" w:hAnsi="Arial Narrow"/>
        </w:rPr>
        <w:t xml:space="preserve">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1A62D361" w14:textId="77777777" w:rsidR="00A032BB"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týkajúce sa technickej alebo odbornej spôsobilosti podľa</w:t>
      </w:r>
      <w:r w:rsidR="00A032BB">
        <w:rPr>
          <w:rFonts w:ascii="Arial Narrow" w:hAnsi="Arial Narrow"/>
          <w:lang w:eastAsia="sk-SK"/>
        </w:rPr>
        <w:t>:</w:t>
      </w:r>
      <w:r>
        <w:rPr>
          <w:rFonts w:ascii="Arial Narrow" w:hAnsi="Arial Narrow"/>
          <w:lang w:eastAsia="sk-SK"/>
        </w:rPr>
        <w:t xml:space="preserve"> </w:t>
      </w:r>
    </w:p>
    <w:p w14:paraId="3ACE98E4" w14:textId="12A68301" w:rsidR="00582830" w:rsidRPr="006A7B7F" w:rsidRDefault="00A032BB" w:rsidP="006A7B7F">
      <w:pPr>
        <w:pStyle w:val="Odsekzoznamu"/>
        <w:numPr>
          <w:ilvl w:val="0"/>
          <w:numId w:val="23"/>
        </w:numPr>
        <w:spacing w:after="0" w:line="240" w:lineRule="auto"/>
        <w:ind w:left="284" w:hanging="284"/>
        <w:jc w:val="both"/>
        <w:rPr>
          <w:rFonts w:ascii="Arial Narrow" w:hAnsi="Arial Narrow"/>
          <w:lang w:eastAsia="sk-SK"/>
        </w:rPr>
      </w:pPr>
      <w:r w:rsidRPr="006A7B7F">
        <w:rPr>
          <w:rFonts w:ascii="Arial Narrow" w:hAnsi="Arial Narrow"/>
          <w:b/>
          <w:lang w:eastAsia="sk-SK"/>
        </w:rPr>
        <w:t xml:space="preserve">§ 34 </w:t>
      </w:r>
      <w:r w:rsidR="00582830" w:rsidRPr="006A7B7F">
        <w:rPr>
          <w:rFonts w:ascii="Arial Narrow" w:hAnsi="Arial Narrow"/>
          <w:b/>
          <w:lang w:eastAsia="sk-SK"/>
        </w:rPr>
        <w:t>ods. 1 písm. a) zákona</w:t>
      </w:r>
      <w:r w:rsidR="00582830" w:rsidRPr="006A7B7F">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6FE868DD" w:rsidR="00582830" w:rsidRPr="000323E7" w:rsidRDefault="00582830" w:rsidP="0058283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00A032BB">
        <w:rPr>
          <w:rFonts w:ascii="Arial Narrow" w:hAnsi="Arial Narrow"/>
          <w:b/>
          <w:u w:val="single"/>
          <w:lang w:eastAsia="sk-SK"/>
        </w:rPr>
        <w:t xml:space="preserve">za predchádzajúce 3 roky </w:t>
      </w:r>
      <w:r w:rsidR="00A032BB">
        <w:rPr>
          <w:rFonts w:ascii="Arial Narrow" w:hAnsi="Arial Narrow"/>
          <w:b/>
          <w:u w:val="single"/>
          <w:lang w:eastAsia="sk-SK"/>
        </w:rPr>
        <w:br/>
        <w:t>(36</w:t>
      </w:r>
      <w:r w:rsidRPr="00582830">
        <w:rPr>
          <w:rFonts w:ascii="Arial Narrow" w:hAnsi="Arial Narrow"/>
          <w:b/>
          <w:u w:val="single"/>
          <w:lang w:eastAsia="sk-SK"/>
        </w:rPr>
        <w:t xml:space="preserve">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77777777" w:rsidR="00582830" w:rsidRDefault="00582830" w:rsidP="00582830">
      <w:pPr>
        <w:pStyle w:val="Odsekzoznamu"/>
        <w:spacing w:after="0" w:line="240" w:lineRule="auto"/>
        <w:ind w:left="0"/>
        <w:contextualSpacing w:val="0"/>
        <w:rPr>
          <w:rFonts w:ascii="Arial Narrow" w:hAnsi="Arial Narrow"/>
          <w:b/>
          <w:lang w:eastAsia="sk-SK"/>
        </w:rPr>
      </w:pPr>
    </w:p>
    <w:p w14:paraId="40E035F2" w14:textId="77777777"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34795A08" w14:textId="77777777" w:rsidR="00582830" w:rsidRPr="00133A84" w:rsidRDefault="00582830" w:rsidP="00582830">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7183EAF5" w14:textId="14E21AAD" w:rsidR="00FD0A93" w:rsidRPr="00FD0A93" w:rsidRDefault="00FD0A93" w:rsidP="00FD0A93">
      <w:pPr>
        <w:jc w:val="both"/>
        <w:rPr>
          <w:sz w:val="24"/>
          <w:szCs w:val="24"/>
          <w:lang w:eastAsia="sk-SK"/>
        </w:rPr>
      </w:pPr>
      <w:r w:rsidRPr="006A7B7F">
        <w:rPr>
          <w:rFonts w:ascii="Arial Narrow" w:hAnsi="Arial Narrow"/>
          <w:bCs/>
        </w:rPr>
        <w:t xml:space="preserve">Uchádzač musí preukázať dodanie </w:t>
      </w:r>
      <w:r w:rsidR="00C56FC2" w:rsidRPr="006A7B7F">
        <w:rPr>
          <w:rFonts w:ascii="Arial Narrow" w:hAnsi="Arial Narrow"/>
          <w:bCs/>
        </w:rPr>
        <w:t xml:space="preserve">10 </w:t>
      </w:r>
      <w:r w:rsidRPr="006A7B7F">
        <w:rPr>
          <w:rFonts w:ascii="Arial Narrow" w:hAnsi="Arial Narrow"/>
          <w:bCs/>
        </w:rPr>
        <w:t>ks hasičských záchranných vozidiel kategórií N2G alebo N3G, ktoré boli vybavené čiastočne alebo úplne zdravotníckou záchranárskou technikou v rozhodnom období. Danú požiadavku je možné preukázať jedným  alebo aj viacerými preukázateľnými referenčnými plneniami.</w:t>
      </w:r>
    </w:p>
    <w:p w14:paraId="6BA03BC4" w14:textId="3B0A33BA" w:rsidR="00896043" w:rsidRDefault="00896043" w:rsidP="00896043">
      <w:pPr>
        <w:pStyle w:val="Odsekzoznamu"/>
        <w:spacing w:after="0" w:line="240" w:lineRule="auto"/>
        <w:ind w:left="0"/>
        <w:contextualSpacing w:val="0"/>
        <w:jc w:val="both"/>
        <w:rPr>
          <w:rFonts w:ascii="Arial Narrow" w:hAnsi="Arial Narrow"/>
          <w:b/>
          <w:lang w:eastAsia="sk-SK"/>
        </w:rPr>
      </w:pPr>
    </w:p>
    <w:p w14:paraId="116F41FC" w14:textId="64B05AA7" w:rsidR="00A032BB" w:rsidRDefault="00A032BB" w:rsidP="00896043">
      <w:pPr>
        <w:pStyle w:val="Odsekzoznamu"/>
        <w:spacing w:after="0" w:line="240" w:lineRule="auto"/>
        <w:ind w:left="0"/>
        <w:contextualSpacing w:val="0"/>
        <w:jc w:val="both"/>
        <w:rPr>
          <w:rFonts w:ascii="Arial Narrow" w:hAnsi="Arial Narrow"/>
          <w:b/>
          <w:lang w:eastAsia="sk-SK"/>
        </w:rPr>
      </w:pPr>
    </w:p>
    <w:p w14:paraId="520D3C1D" w14:textId="64D6822B" w:rsidR="00A032BB" w:rsidRDefault="00A032BB" w:rsidP="00896043">
      <w:pPr>
        <w:pStyle w:val="Odsekzoznamu"/>
        <w:spacing w:after="0" w:line="240" w:lineRule="auto"/>
        <w:ind w:left="0"/>
        <w:contextualSpacing w:val="0"/>
        <w:jc w:val="both"/>
        <w:rPr>
          <w:rFonts w:ascii="Arial Narrow" w:hAnsi="Arial Narrow"/>
          <w:b/>
          <w:lang w:eastAsia="sk-SK"/>
        </w:rPr>
      </w:pPr>
    </w:p>
    <w:p w14:paraId="6F6CFA59" w14:textId="77777777" w:rsidR="00881B5E" w:rsidRDefault="00881B5E" w:rsidP="0083602D">
      <w:pPr>
        <w:pStyle w:val="Odsekzoznamu"/>
        <w:spacing w:before="300" w:after="300" w:line="240" w:lineRule="auto"/>
        <w:ind w:left="0"/>
        <w:jc w:val="both"/>
        <w:rPr>
          <w:rFonts w:ascii="Arial Narrow" w:hAnsi="Arial Narrow"/>
          <w:b/>
          <w:lang w:eastAsia="sk-SK"/>
        </w:rPr>
      </w:pPr>
    </w:p>
    <w:p w14:paraId="7A44EF4A" w14:textId="0C921ADC" w:rsidR="00506566" w:rsidRPr="00FD0A93" w:rsidRDefault="006A7B7F" w:rsidP="0083602D">
      <w:pPr>
        <w:pStyle w:val="Odsekzoznamu"/>
        <w:spacing w:before="300" w:after="300" w:line="240" w:lineRule="auto"/>
        <w:ind w:left="0"/>
        <w:jc w:val="both"/>
        <w:rPr>
          <w:rFonts w:ascii="Arial Narrow" w:hAnsi="Arial Narrow"/>
          <w:b/>
          <w:u w:val="single"/>
          <w:lang w:eastAsia="sk-SK"/>
        </w:rPr>
      </w:pPr>
      <w:bookmarkStart w:id="0" w:name="_GoBack"/>
      <w:r>
        <w:rPr>
          <w:rFonts w:ascii="Arial Narrow" w:hAnsi="Arial Narrow"/>
          <w:b/>
          <w:lang w:eastAsia="sk-SK"/>
        </w:rPr>
        <w:t>4</w:t>
      </w:r>
      <w:r w:rsidR="009C5143" w:rsidRPr="009C5143">
        <w:rPr>
          <w:rFonts w:ascii="Arial Narrow" w:hAnsi="Arial Narrow"/>
          <w:b/>
          <w:lang w:eastAsia="sk-SK"/>
        </w:rPr>
        <w:t>.</w:t>
      </w:r>
      <w:r w:rsidR="009C5143">
        <w:rPr>
          <w:rFonts w:ascii="Arial Narrow" w:hAnsi="Arial Narrow"/>
          <w:b/>
          <w:u w:val="single"/>
          <w:lang w:eastAsia="sk-SK"/>
        </w:rPr>
        <w:t xml:space="preserve"> </w:t>
      </w:r>
      <w:r w:rsidR="005C4BC9" w:rsidRPr="0040463D">
        <w:rPr>
          <w:rFonts w:ascii="Arial Narrow" w:hAnsi="Arial Narrow"/>
          <w:b/>
          <w:u w:val="single"/>
          <w:lang w:eastAsia="sk-SK"/>
        </w:rPr>
        <w:t>Ďalšie informácie</w:t>
      </w:r>
    </w:p>
    <w:bookmarkEnd w:id="0"/>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41C4FAC3"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w:t>
      </w:r>
      <w:r w:rsidR="00881B5E">
        <w:rPr>
          <w:rFonts w:ascii="Arial Narrow" w:hAnsi="Arial Narrow" w:cs="Arial"/>
        </w:rPr>
        <w:t>nú spôsobilosť sa predkladajú v </w:t>
      </w:r>
      <w:r w:rsidRPr="003E03B5">
        <w:rPr>
          <w:rFonts w:ascii="Arial Narrow" w:hAnsi="Arial Narrow" w:cs="Arial"/>
        </w:rPr>
        <w:t>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1441B0" w:rsidRDefault="00D0110B" w:rsidP="002047E5">
      <w:pPr>
        <w:spacing w:before="120" w:after="0" w:line="240" w:lineRule="auto"/>
        <w:jc w:val="both"/>
        <w:rPr>
          <w:rFonts w:ascii="Arial Narrow" w:hAnsi="Arial Narrow"/>
          <w:color w:val="4472C4" w:themeColor="accent1"/>
          <w:lang w:eastAsia="sk-SK"/>
        </w:rPr>
      </w:pPr>
      <w:r w:rsidRPr="001441B0">
        <w:rPr>
          <w:rFonts w:ascii="Arial Narrow" w:hAnsi="Arial Narrow"/>
          <w:color w:val="4472C4" w:themeColor="accent1"/>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D944" w14:textId="77777777" w:rsidR="00F870B1" w:rsidRDefault="00F870B1" w:rsidP="00CF3803">
      <w:pPr>
        <w:spacing w:after="0" w:line="240" w:lineRule="auto"/>
      </w:pPr>
      <w:r>
        <w:separator/>
      </w:r>
    </w:p>
  </w:endnote>
  <w:endnote w:type="continuationSeparator" w:id="0">
    <w:p w14:paraId="61687370" w14:textId="77777777" w:rsidR="00F870B1" w:rsidRDefault="00F870B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6758"/>
      <w:docPartObj>
        <w:docPartGallery w:val="Page Numbers (Bottom of Page)"/>
        <w:docPartUnique/>
      </w:docPartObj>
    </w:sdtPr>
    <w:sdtEndPr/>
    <w:sdtContent>
      <w:p w14:paraId="369FC886" w14:textId="37005293" w:rsidR="00156E4A" w:rsidRDefault="00156E4A">
        <w:pPr>
          <w:pStyle w:val="Pta"/>
          <w:jc w:val="center"/>
        </w:pPr>
        <w:r>
          <w:fldChar w:fldCharType="begin"/>
        </w:r>
        <w:r>
          <w:instrText>PAGE   \* MERGEFORMAT</w:instrText>
        </w:r>
        <w:r>
          <w:fldChar w:fldCharType="separate"/>
        </w:r>
        <w:r w:rsidR="006A7B7F">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516CD" w14:textId="77777777" w:rsidR="00F870B1" w:rsidRDefault="00F870B1" w:rsidP="00CF3803">
      <w:pPr>
        <w:spacing w:after="0" w:line="240" w:lineRule="auto"/>
      </w:pPr>
      <w:r>
        <w:separator/>
      </w:r>
    </w:p>
  </w:footnote>
  <w:footnote w:type="continuationSeparator" w:id="0">
    <w:p w14:paraId="56C29C09" w14:textId="77777777" w:rsidR="00F870B1" w:rsidRDefault="00F870B1"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75E4" w14:textId="601743E3" w:rsidR="00D45A3A" w:rsidRPr="00151053" w:rsidRDefault="00D45A3A" w:rsidP="00043ED5">
    <w:pPr>
      <w:spacing w:before="60" w:after="0"/>
      <w:jc w:val="right"/>
      <w:rPr>
        <w:rFonts w:ascii="Arial Narrow" w:hAnsi="Arial Narrow"/>
      </w:rPr>
    </w:pPr>
    <w:r w:rsidRPr="00151053">
      <w:rPr>
        <w:rFonts w:ascii="Arial Narrow" w:hAnsi="Arial Narrow"/>
      </w:rPr>
      <w:t xml:space="preserve">Príloha č. 5 </w:t>
    </w:r>
    <w:r w:rsidR="00151053" w:rsidRPr="00151053">
      <w:rPr>
        <w:rFonts w:ascii="Arial Narrow" w:hAnsi="Arial Narrow"/>
      </w:rPr>
      <w:t>Podmienky účasti</w:t>
    </w:r>
  </w:p>
  <w:p w14:paraId="539FC32E" w14:textId="72B9044C" w:rsidR="00D45A3A" w:rsidRPr="00753F5B" w:rsidRDefault="00D45A3A" w:rsidP="00043ED5">
    <w:pPr>
      <w:pStyle w:val="Hlavika"/>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491744"/>
    <w:multiLevelType w:val="hybridMultilevel"/>
    <w:tmpl w:val="9C227332"/>
    <w:lvl w:ilvl="0" w:tplc="FBBA93C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FC2B47"/>
    <w:multiLevelType w:val="hybridMultilevel"/>
    <w:tmpl w:val="6E3435A6"/>
    <w:lvl w:ilvl="0" w:tplc="F298628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31E7D1E"/>
    <w:multiLevelType w:val="hybridMultilevel"/>
    <w:tmpl w:val="744AB5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2"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5"/>
  </w:num>
  <w:num w:numId="4">
    <w:abstractNumId w:val="20"/>
  </w:num>
  <w:num w:numId="5">
    <w:abstractNumId w:val="16"/>
  </w:num>
  <w:num w:numId="6">
    <w:abstractNumId w:val="8"/>
  </w:num>
  <w:num w:numId="7">
    <w:abstractNumId w:val="1"/>
  </w:num>
  <w:num w:numId="8">
    <w:abstractNumId w:val="18"/>
  </w:num>
  <w:num w:numId="9">
    <w:abstractNumId w:val="22"/>
  </w:num>
  <w:num w:numId="10">
    <w:abstractNumId w:val="9"/>
  </w:num>
  <w:num w:numId="11">
    <w:abstractNumId w:val="17"/>
  </w:num>
  <w:num w:numId="12">
    <w:abstractNumId w:val="21"/>
  </w:num>
  <w:num w:numId="13">
    <w:abstractNumId w:val="14"/>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0283"/>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03CEB"/>
    <w:rsid w:val="00111A1C"/>
    <w:rsid w:val="00112F5A"/>
    <w:rsid w:val="00116D6B"/>
    <w:rsid w:val="00123C58"/>
    <w:rsid w:val="0012597B"/>
    <w:rsid w:val="00127D90"/>
    <w:rsid w:val="00130205"/>
    <w:rsid w:val="00130AF9"/>
    <w:rsid w:val="001437DD"/>
    <w:rsid w:val="001441B0"/>
    <w:rsid w:val="00145114"/>
    <w:rsid w:val="00151053"/>
    <w:rsid w:val="00156E4A"/>
    <w:rsid w:val="001579A4"/>
    <w:rsid w:val="00162CE3"/>
    <w:rsid w:val="0016443D"/>
    <w:rsid w:val="0019071B"/>
    <w:rsid w:val="001A0475"/>
    <w:rsid w:val="001A0942"/>
    <w:rsid w:val="001A13E7"/>
    <w:rsid w:val="001C7197"/>
    <w:rsid w:val="001C7614"/>
    <w:rsid w:val="001D1A90"/>
    <w:rsid w:val="001E7204"/>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07D6"/>
    <w:rsid w:val="002C5532"/>
    <w:rsid w:val="002E21A4"/>
    <w:rsid w:val="002F2D1D"/>
    <w:rsid w:val="002F55F8"/>
    <w:rsid w:val="002F79B9"/>
    <w:rsid w:val="00313926"/>
    <w:rsid w:val="00330C7A"/>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5B48"/>
    <w:rsid w:val="005E6C0D"/>
    <w:rsid w:val="005F0BEB"/>
    <w:rsid w:val="005F174C"/>
    <w:rsid w:val="005F6B63"/>
    <w:rsid w:val="0061711A"/>
    <w:rsid w:val="0062634C"/>
    <w:rsid w:val="00630342"/>
    <w:rsid w:val="0063392A"/>
    <w:rsid w:val="00637F7F"/>
    <w:rsid w:val="00647977"/>
    <w:rsid w:val="006656EE"/>
    <w:rsid w:val="00673D9A"/>
    <w:rsid w:val="00696C21"/>
    <w:rsid w:val="006A3A63"/>
    <w:rsid w:val="006A6933"/>
    <w:rsid w:val="006A7B7F"/>
    <w:rsid w:val="006B5ED7"/>
    <w:rsid w:val="006C0C32"/>
    <w:rsid w:val="006C4BA1"/>
    <w:rsid w:val="006F0353"/>
    <w:rsid w:val="006F2010"/>
    <w:rsid w:val="006F4934"/>
    <w:rsid w:val="0070402F"/>
    <w:rsid w:val="00706952"/>
    <w:rsid w:val="00724924"/>
    <w:rsid w:val="007332F9"/>
    <w:rsid w:val="007352E8"/>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1291"/>
    <w:rsid w:val="007E480C"/>
    <w:rsid w:val="007E481E"/>
    <w:rsid w:val="007F0FEF"/>
    <w:rsid w:val="007F1EDD"/>
    <w:rsid w:val="007F4395"/>
    <w:rsid w:val="008053F7"/>
    <w:rsid w:val="008070B2"/>
    <w:rsid w:val="00814801"/>
    <w:rsid w:val="0081715F"/>
    <w:rsid w:val="00823420"/>
    <w:rsid w:val="00835829"/>
    <w:rsid w:val="0083602D"/>
    <w:rsid w:val="00844D8F"/>
    <w:rsid w:val="00856985"/>
    <w:rsid w:val="00881B5E"/>
    <w:rsid w:val="00886254"/>
    <w:rsid w:val="00896043"/>
    <w:rsid w:val="008A216C"/>
    <w:rsid w:val="008A21D9"/>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1BE"/>
    <w:rsid w:val="00953D59"/>
    <w:rsid w:val="00954A4F"/>
    <w:rsid w:val="00960074"/>
    <w:rsid w:val="009703C0"/>
    <w:rsid w:val="0098633C"/>
    <w:rsid w:val="00986E67"/>
    <w:rsid w:val="009A6009"/>
    <w:rsid w:val="009B2A26"/>
    <w:rsid w:val="009B5AC4"/>
    <w:rsid w:val="009B6299"/>
    <w:rsid w:val="009C5143"/>
    <w:rsid w:val="009D6A48"/>
    <w:rsid w:val="009E1C65"/>
    <w:rsid w:val="009E632E"/>
    <w:rsid w:val="009F226E"/>
    <w:rsid w:val="00A032BB"/>
    <w:rsid w:val="00A10286"/>
    <w:rsid w:val="00A12852"/>
    <w:rsid w:val="00A130C8"/>
    <w:rsid w:val="00A21721"/>
    <w:rsid w:val="00A224C2"/>
    <w:rsid w:val="00A23962"/>
    <w:rsid w:val="00A312BD"/>
    <w:rsid w:val="00A312EF"/>
    <w:rsid w:val="00A32CC7"/>
    <w:rsid w:val="00A35B70"/>
    <w:rsid w:val="00A403F4"/>
    <w:rsid w:val="00A472EE"/>
    <w:rsid w:val="00A523E9"/>
    <w:rsid w:val="00A61EBE"/>
    <w:rsid w:val="00A63431"/>
    <w:rsid w:val="00A73047"/>
    <w:rsid w:val="00A75414"/>
    <w:rsid w:val="00A80890"/>
    <w:rsid w:val="00AA26B7"/>
    <w:rsid w:val="00AA4FC2"/>
    <w:rsid w:val="00AB6765"/>
    <w:rsid w:val="00AC1E2B"/>
    <w:rsid w:val="00AC4256"/>
    <w:rsid w:val="00AD0B8C"/>
    <w:rsid w:val="00AE2E11"/>
    <w:rsid w:val="00B022C3"/>
    <w:rsid w:val="00B108B4"/>
    <w:rsid w:val="00B1589E"/>
    <w:rsid w:val="00B20C76"/>
    <w:rsid w:val="00B24E82"/>
    <w:rsid w:val="00B316D2"/>
    <w:rsid w:val="00B3295B"/>
    <w:rsid w:val="00B33A50"/>
    <w:rsid w:val="00B5148B"/>
    <w:rsid w:val="00B65084"/>
    <w:rsid w:val="00B66EB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E708E"/>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6FC2"/>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07E69"/>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52E1C"/>
    <w:rsid w:val="00E60B9F"/>
    <w:rsid w:val="00E642E7"/>
    <w:rsid w:val="00E6549C"/>
    <w:rsid w:val="00E67D3C"/>
    <w:rsid w:val="00E7143A"/>
    <w:rsid w:val="00E742DF"/>
    <w:rsid w:val="00E862AB"/>
    <w:rsid w:val="00E9222B"/>
    <w:rsid w:val="00E94CCA"/>
    <w:rsid w:val="00EA3E5F"/>
    <w:rsid w:val="00EC2343"/>
    <w:rsid w:val="00EC4881"/>
    <w:rsid w:val="00EC6EA3"/>
    <w:rsid w:val="00ED543B"/>
    <w:rsid w:val="00EE4761"/>
    <w:rsid w:val="00EF0984"/>
    <w:rsid w:val="00EF3442"/>
    <w:rsid w:val="00F0234E"/>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870B1"/>
    <w:rsid w:val="00F97D4F"/>
    <w:rsid w:val="00FA3FDF"/>
    <w:rsid w:val="00FA77E4"/>
    <w:rsid w:val="00FA7BF3"/>
    <w:rsid w:val="00FB15D4"/>
    <w:rsid w:val="00FC3256"/>
    <w:rsid w:val="00FD0291"/>
    <w:rsid w:val="00FD0A93"/>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C56FC2"/>
  </w:style>
  <w:style w:type="character" w:customStyle="1" w:styleId="eop">
    <w:name w:val="eop"/>
    <w:basedOn w:val="Predvolenpsmoodseku"/>
    <w:rsid w:val="00C5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 w:id="18682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4.xml><?xml version="1.0" encoding="utf-8"?>
<ds:datastoreItem xmlns:ds="http://schemas.openxmlformats.org/officeDocument/2006/customXml" ds:itemID="{835AD51A-85A4-4908-B6EA-91E371E5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1918</Words>
  <Characters>10937</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Petronela Pitoňáková</cp:lastModifiedBy>
  <cp:revision>86</cp:revision>
  <cp:lastPrinted>2022-01-18T07:35:00Z</cp:lastPrinted>
  <dcterms:created xsi:type="dcterms:W3CDTF">2022-04-03T15:40:00Z</dcterms:created>
  <dcterms:modified xsi:type="dcterms:W3CDTF">2024-11-06T07:39:00Z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