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0F2B08" w14:paraId="0800318E" w14:textId="77777777" w:rsidTr="00D915DC">
        <w:tc>
          <w:tcPr>
            <w:tcW w:w="388" w:type="pct"/>
          </w:tcPr>
          <w:p w14:paraId="728F9103" w14:textId="77777777" w:rsidR="000F2B08" w:rsidRDefault="000F2B08" w:rsidP="000F2B08">
            <w:pPr>
              <w:spacing w:after="0"/>
              <w:jc w:val="center"/>
              <w:rPr>
                <w:rFonts w:cs="Arial"/>
                <w:szCs w:val="20"/>
              </w:rPr>
            </w:pPr>
            <w:r>
              <w:rPr>
                <w:rFonts w:cs="Arial"/>
                <w:szCs w:val="20"/>
              </w:rPr>
              <w:t>1.</w:t>
            </w:r>
          </w:p>
        </w:tc>
        <w:tc>
          <w:tcPr>
            <w:tcW w:w="2112" w:type="pct"/>
            <w:vAlign w:val="bottom"/>
          </w:tcPr>
          <w:p w14:paraId="08BB2252" w14:textId="76DDA5A1" w:rsidR="000F2B08" w:rsidRPr="00F41AB6" w:rsidRDefault="000F2B08" w:rsidP="000F2B08">
            <w:pPr>
              <w:spacing w:after="0"/>
              <w:jc w:val="center"/>
              <w:rPr>
                <w:rFonts w:cs="Arial"/>
                <w:szCs w:val="20"/>
              </w:rPr>
            </w:pPr>
            <w:r>
              <w:rPr>
                <w:rFonts w:ascii="Calibri" w:hAnsi="Calibri" w:cs="Calibri"/>
                <w:color w:val="000000"/>
                <w:sz w:val="22"/>
                <w:szCs w:val="22"/>
              </w:rPr>
              <w:t>Kamenivo frakcia LK 0/125</w:t>
            </w:r>
          </w:p>
        </w:tc>
        <w:tc>
          <w:tcPr>
            <w:tcW w:w="2500" w:type="pct"/>
          </w:tcPr>
          <w:p w14:paraId="0E204B94" w14:textId="3565936B" w:rsidR="000F2B08" w:rsidRDefault="000F2B08" w:rsidP="000F2B08">
            <w:pPr>
              <w:spacing w:after="0"/>
              <w:jc w:val="center"/>
              <w:rPr>
                <w:rFonts w:cs="Arial"/>
                <w:szCs w:val="20"/>
              </w:rPr>
            </w:pPr>
            <w:r w:rsidRPr="0096396F">
              <w:t>50</w:t>
            </w:r>
          </w:p>
        </w:tc>
      </w:tr>
      <w:tr w:rsidR="000F2B08" w14:paraId="2749E9A1" w14:textId="77777777" w:rsidTr="00D915DC">
        <w:tc>
          <w:tcPr>
            <w:tcW w:w="388" w:type="pct"/>
          </w:tcPr>
          <w:p w14:paraId="0A79BE53" w14:textId="77777777" w:rsidR="000F2B08" w:rsidRDefault="000F2B08" w:rsidP="000F2B08">
            <w:pPr>
              <w:spacing w:after="0"/>
              <w:jc w:val="center"/>
              <w:rPr>
                <w:rFonts w:cs="Arial"/>
                <w:szCs w:val="20"/>
              </w:rPr>
            </w:pPr>
            <w:r>
              <w:rPr>
                <w:rFonts w:cs="Arial"/>
                <w:szCs w:val="20"/>
              </w:rPr>
              <w:t>2.</w:t>
            </w:r>
          </w:p>
        </w:tc>
        <w:tc>
          <w:tcPr>
            <w:tcW w:w="2112" w:type="pct"/>
            <w:vAlign w:val="bottom"/>
          </w:tcPr>
          <w:p w14:paraId="7B87304B" w14:textId="0867513A" w:rsidR="000F2B08" w:rsidRPr="00F41AB6" w:rsidRDefault="000F2B08" w:rsidP="000F2B08">
            <w:pPr>
              <w:spacing w:after="0"/>
              <w:jc w:val="center"/>
              <w:rPr>
                <w:rFonts w:cs="Arial"/>
                <w:szCs w:val="20"/>
              </w:rPr>
            </w:pPr>
            <w:r>
              <w:rPr>
                <w:rFonts w:ascii="Calibri" w:hAnsi="Calibri" w:cs="Calibri"/>
                <w:color w:val="000000"/>
                <w:sz w:val="22"/>
                <w:szCs w:val="22"/>
              </w:rPr>
              <w:t>Kamenivo frakcia 0/4</w:t>
            </w:r>
          </w:p>
        </w:tc>
        <w:tc>
          <w:tcPr>
            <w:tcW w:w="2500" w:type="pct"/>
          </w:tcPr>
          <w:p w14:paraId="0C54ABA7" w14:textId="55629DD3" w:rsidR="000F2B08" w:rsidRDefault="000F2B08" w:rsidP="000F2B08">
            <w:pPr>
              <w:spacing w:after="0"/>
              <w:jc w:val="center"/>
              <w:rPr>
                <w:rFonts w:cs="Arial"/>
                <w:szCs w:val="20"/>
              </w:rPr>
            </w:pPr>
            <w:r w:rsidRPr="0096396F">
              <w:t>50</w:t>
            </w:r>
          </w:p>
        </w:tc>
      </w:tr>
      <w:tr w:rsidR="000F2B08" w14:paraId="4B558E15" w14:textId="77777777" w:rsidTr="00D915DC">
        <w:tc>
          <w:tcPr>
            <w:tcW w:w="388" w:type="pct"/>
          </w:tcPr>
          <w:p w14:paraId="599495A9" w14:textId="77777777" w:rsidR="000F2B08" w:rsidRDefault="000F2B08" w:rsidP="000F2B08">
            <w:pPr>
              <w:spacing w:after="0"/>
              <w:jc w:val="center"/>
              <w:rPr>
                <w:rFonts w:cs="Arial"/>
                <w:szCs w:val="20"/>
              </w:rPr>
            </w:pPr>
            <w:r>
              <w:rPr>
                <w:rFonts w:cs="Arial"/>
                <w:szCs w:val="20"/>
              </w:rPr>
              <w:t>3.</w:t>
            </w:r>
          </w:p>
        </w:tc>
        <w:tc>
          <w:tcPr>
            <w:tcW w:w="2112" w:type="pct"/>
            <w:vAlign w:val="bottom"/>
          </w:tcPr>
          <w:p w14:paraId="343E5BDF" w14:textId="6D90DAB1" w:rsidR="000F2B08" w:rsidRPr="00F41AB6" w:rsidRDefault="000F2B08" w:rsidP="000F2B08">
            <w:pPr>
              <w:spacing w:after="0"/>
              <w:jc w:val="center"/>
              <w:rPr>
                <w:rFonts w:cs="Arial"/>
                <w:szCs w:val="20"/>
              </w:rPr>
            </w:pPr>
            <w:r>
              <w:rPr>
                <w:rFonts w:ascii="Calibri" w:hAnsi="Calibri" w:cs="Calibri"/>
                <w:color w:val="000000"/>
                <w:sz w:val="22"/>
                <w:szCs w:val="22"/>
              </w:rPr>
              <w:t>Kamenivo frakcia 0/32</w:t>
            </w:r>
          </w:p>
        </w:tc>
        <w:tc>
          <w:tcPr>
            <w:tcW w:w="2500" w:type="pct"/>
          </w:tcPr>
          <w:p w14:paraId="57574DEE" w14:textId="0E8D5A89" w:rsidR="000F2B08" w:rsidRDefault="000F2B08" w:rsidP="000F2B08">
            <w:pPr>
              <w:spacing w:after="0"/>
              <w:jc w:val="center"/>
              <w:rPr>
                <w:rFonts w:cs="Arial"/>
                <w:szCs w:val="20"/>
              </w:rPr>
            </w:pPr>
            <w:r w:rsidRPr="0096396F">
              <w:t>100</w:t>
            </w:r>
          </w:p>
        </w:tc>
      </w:tr>
      <w:tr w:rsidR="000F2B08" w14:paraId="74259E59" w14:textId="77777777" w:rsidTr="00D915DC">
        <w:tc>
          <w:tcPr>
            <w:tcW w:w="388" w:type="pct"/>
          </w:tcPr>
          <w:p w14:paraId="73226150" w14:textId="04B0410E" w:rsidR="000F2B08" w:rsidRDefault="000F2B08" w:rsidP="000F2B08">
            <w:pPr>
              <w:spacing w:after="0"/>
              <w:jc w:val="center"/>
              <w:rPr>
                <w:rFonts w:cs="Arial"/>
                <w:szCs w:val="20"/>
              </w:rPr>
            </w:pPr>
            <w:r>
              <w:rPr>
                <w:rFonts w:cs="Arial"/>
                <w:szCs w:val="20"/>
              </w:rPr>
              <w:t>4.</w:t>
            </w:r>
          </w:p>
        </w:tc>
        <w:tc>
          <w:tcPr>
            <w:tcW w:w="2112" w:type="pct"/>
            <w:vAlign w:val="bottom"/>
          </w:tcPr>
          <w:p w14:paraId="08FC1E9F" w14:textId="73CDC174" w:rsidR="000F2B08" w:rsidRDefault="000F2B08" w:rsidP="000F2B08">
            <w:pPr>
              <w:spacing w:after="0"/>
              <w:jc w:val="center"/>
              <w:rPr>
                <w:rFonts w:cs="Arial"/>
                <w:color w:val="000000"/>
                <w:szCs w:val="20"/>
              </w:rPr>
            </w:pPr>
            <w:r>
              <w:rPr>
                <w:rFonts w:ascii="Calibri" w:hAnsi="Calibri" w:cs="Calibri"/>
                <w:color w:val="000000"/>
                <w:sz w:val="22"/>
                <w:szCs w:val="22"/>
              </w:rPr>
              <w:t>Kamenivo frakcia 0/63</w:t>
            </w:r>
          </w:p>
        </w:tc>
        <w:tc>
          <w:tcPr>
            <w:tcW w:w="2500" w:type="pct"/>
          </w:tcPr>
          <w:p w14:paraId="4B2F643F" w14:textId="5574C33F" w:rsidR="000F2B08" w:rsidRDefault="000F2B08" w:rsidP="000F2B08">
            <w:pPr>
              <w:spacing w:after="0"/>
              <w:jc w:val="center"/>
              <w:rPr>
                <w:rFonts w:cs="Arial"/>
                <w:szCs w:val="20"/>
              </w:rPr>
            </w:pPr>
            <w:r w:rsidRPr="0096396F">
              <w:t>50</w:t>
            </w:r>
          </w:p>
        </w:tc>
      </w:tr>
      <w:tr w:rsidR="000F2B08" w14:paraId="3809CAE6" w14:textId="77777777" w:rsidTr="00D915DC">
        <w:tc>
          <w:tcPr>
            <w:tcW w:w="388" w:type="pct"/>
          </w:tcPr>
          <w:p w14:paraId="00CF7C62" w14:textId="1AE6FA60" w:rsidR="000F2B08" w:rsidRDefault="000F2B08" w:rsidP="000F2B08">
            <w:pPr>
              <w:spacing w:after="0"/>
              <w:jc w:val="center"/>
              <w:rPr>
                <w:rFonts w:cs="Arial"/>
                <w:szCs w:val="20"/>
              </w:rPr>
            </w:pPr>
            <w:r>
              <w:rPr>
                <w:rFonts w:cs="Arial"/>
                <w:szCs w:val="20"/>
              </w:rPr>
              <w:t>5.</w:t>
            </w:r>
          </w:p>
        </w:tc>
        <w:tc>
          <w:tcPr>
            <w:tcW w:w="2112" w:type="pct"/>
            <w:vAlign w:val="bottom"/>
          </w:tcPr>
          <w:p w14:paraId="32E37A2B" w14:textId="480A238D" w:rsidR="000F2B08" w:rsidRDefault="000F2B08" w:rsidP="000F2B08">
            <w:pPr>
              <w:spacing w:after="0"/>
              <w:jc w:val="center"/>
              <w:rPr>
                <w:rFonts w:cs="Arial"/>
                <w:color w:val="000000"/>
                <w:szCs w:val="20"/>
              </w:rPr>
            </w:pPr>
            <w:r>
              <w:rPr>
                <w:rFonts w:ascii="Calibri" w:hAnsi="Calibri" w:cs="Calibri"/>
                <w:color w:val="000000"/>
                <w:sz w:val="22"/>
                <w:szCs w:val="22"/>
              </w:rPr>
              <w:t>Kamenivo frakcia 4/8</w:t>
            </w:r>
          </w:p>
        </w:tc>
        <w:tc>
          <w:tcPr>
            <w:tcW w:w="2500" w:type="pct"/>
          </w:tcPr>
          <w:p w14:paraId="5BD290CC" w14:textId="09B0FBF4" w:rsidR="000F2B08" w:rsidRDefault="000F2B08" w:rsidP="000F2B08">
            <w:pPr>
              <w:spacing w:after="0"/>
              <w:jc w:val="center"/>
              <w:rPr>
                <w:rFonts w:cs="Arial"/>
                <w:szCs w:val="20"/>
              </w:rPr>
            </w:pPr>
            <w:r w:rsidRPr="0096396F">
              <w:t>150</w:t>
            </w:r>
          </w:p>
        </w:tc>
      </w:tr>
      <w:tr w:rsidR="000F2B08" w14:paraId="7F86CB73" w14:textId="77777777" w:rsidTr="00D915DC">
        <w:tc>
          <w:tcPr>
            <w:tcW w:w="388" w:type="pct"/>
          </w:tcPr>
          <w:p w14:paraId="437373D9" w14:textId="23088198" w:rsidR="000F2B08" w:rsidRDefault="000F2B08" w:rsidP="000F2B08">
            <w:pPr>
              <w:spacing w:after="0"/>
              <w:jc w:val="center"/>
              <w:rPr>
                <w:rFonts w:cs="Arial"/>
                <w:szCs w:val="20"/>
              </w:rPr>
            </w:pPr>
            <w:r>
              <w:rPr>
                <w:rFonts w:cs="Arial"/>
                <w:szCs w:val="20"/>
              </w:rPr>
              <w:t>6.</w:t>
            </w:r>
          </w:p>
        </w:tc>
        <w:tc>
          <w:tcPr>
            <w:tcW w:w="2112" w:type="pct"/>
            <w:vAlign w:val="bottom"/>
          </w:tcPr>
          <w:p w14:paraId="3F30296B" w14:textId="288497DC" w:rsidR="000F2B08" w:rsidRDefault="000F2B08" w:rsidP="000F2B08">
            <w:pPr>
              <w:spacing w:after="0"/>
              <w:jc w:val="center"/>
              <w:rPr>
                <w:rFonts w:cs="Arial"/>
                <w:color w:val="000000"/>
                <w:szCs w:val="20"/>
              </w:rPr>
            </w:pPr>
            <w:r>
              <w:rPr>
                <w:rFonts w:ascii="Calibri" w:hAnsi="Calibri" w:cs="Calibri"/>
                <w:color w:val="000000"/>
                <w:sz w:val="22"/>
                <w:szCs w:val="22"/>
              </w:rPr>
              <w:t xml:space="preserve">Kamenivo frakcia 8/16 </w:t>
            </w:r>
          </w:p>
        </w:tc>
        <w:tc>
          <w:tcPr>
            <w:tcW w:w="2500" w:type="pct"/>
          </w:tcPr>
          <w:p w14:paraId="35B1C2B1" w14:textId="587AFEBD" w:rsidR="000F2B08" w:rsidRDefault="000F2B08" w:rsidP="000F2B08">
            <w:pPr>
              <w:spacing w:after="0"/>
              <w:jc w:val="center"/>
              <w:rPr>
                <w:rFonts w:cs="Arial"/>
                <w:szCs w:val="20"/>
              </w:rPr>
            </w:pPr>
            <w:r w:rsidRPr="0096396F">
              <w:t>100</w:t>
            </w:r>
          </w:p>
        </w:tc>
      </w:tr>
      <w:tr w:rsidR="000F2B08" w14:paraId="2A0E534C" w14:textId="77777777" w:rsidTr="00D915DC">
        <w:tc>
          <w:tcPr>
            <w:tcW w:w="388" w:type="pct"/>
          </w:tcPr>
          <w:p w14:paraId="0FE3106A" w14:textId="0DA4C24A" w:rsidR="000F2B08" w:rsidRDefault="000F2B08" w:rsidP="000F2B08">
            <w:pPr>
              <w:spacing w:after="0"/>
              <w:jc w:val="center"/>
              <w:rPr>
                <w:rFonts w:cs="Arial"/>
                <w:szCs w:val="20"/>
              </w:rPr>
            </w:pPr>
            <w:r>
              <w:rPr>
                <w:rFonts w:cs="Arial"/>
                <w:szCs w:val="20"/>
              </w:rPr>
              <w:t>7.</w:t>
            </w:r>
          </w:p>
        </w:tc>
        <w:tc>
          <w:tcPr>
            <w:tcW w:w="2112" w:type="pct"/>
            <w:vAlign w:val="bottom"/>
          </w:tcPr>
          <w:p w14:paraId="14F96649" w14:textId="21F502D6" w:rsidR="000F2B08" w:rsidRDefault="000F2B08" w:rsidP="000F2B08">
            <w:pPr>
              <w:spacing w:after="0"/>
              <w:jc w:val="center"/>
              <w:rPr>
                <w:rFonts w:cs="Arial"/>
                <w:color w:val="000000"/>
                <w:szCs w:val="20"/>
              </w:rPr>
            </w:pPr>
            <w:r>
              <w:rPr>
                <w:rFonts w:ascii="Calibri" w:hAnsi="Calibri" w:cs="Calibri"/>
                <w:color w:val="000000"/>
                <w:sz w:val="22"/>
                <w:szCs w:val="22"/>
              </w:rPr>
              <w:t>Kamenivo frakcia 16/32</w:t>
            </w:r>
          </w:p>
        </w:tc>
        <w:tc>
          <w:tcPr>
            <w:tcW w:w="2500" w:type="pct"/>
          </w:tcPr>
          <w:p w14:paraId="3ED5C5B4" w14:textId="5FCB121E" w:rsidR="000F2B08" w:rsidRDefault="000F2B08" w:rsidP="000F2B08">
            <w:pPr>
              <w:spacing w:after="0"/>
              <w:jc w:val="center"/>
              <w:rPr>
                <w:rFonts w:cs="Arial"/>
                <w:szCs w:val="20"/>
              </w:rPr>
            </w:pPr>
            <w:r w:rsidRPr="0096396F">
              <w:t>200</w:t>
            </w:r>
          </w:p>
        </w:tc>
      </w:tr>
      <w:tr w:rsidR="000F2B08" w14:paraId="442084AC" w14:textId="77777777" w:rsidTr="00D915DC">
        <w:tc>
          <w:tcPr>
            <w:tcW w:w="388" w:type="pct"/>
          </w:tcPr>
          <w:p w14:paraId="42B4735F" w14:textId="3265E266" w:rsidR="000F2B08" w:rsidRDefault="000F2B08" w:rsidP="000F2B08">
            <w:pPr>
              <w:spacing w:after="0"/>
              <w:jc w:val="center"/>
              <w:rPr>
                <w:rFonts w:cs="Arial"/>
                <w:szCs w:val="20"/>
              </w:rPr>
            </w:pPr>
            <w:r>
              <w:rPr>
                <w:rFonts w:cs="Arial"/>
                <w:szCs w:val="20"/>
              </w:rPr>
              <w:t>8.</w:t>
            </w:r>
          </w:p>
        </w:tc>
        <w:tc>
          <w:tcPr>
            <w:tcW w:w="2112" w:type="pct"/>
            <w:vAlign w:val="bottom"/>
          </w:tcPr>
          <w:p w14:paraId="1FBAEC57" w14:textId="4F7A92ED" w:rsidR="000F2B08" w:rsidRDefault="000F2B08" w:rsidP="000F2B08">
            <w:pPr>
              <w:spacing w:after="0"/>
              <w:jc w:val="center"/>
              <w:rPr>
                <w:rFonts w:ascii="Calibri" w:hAnsi="Calibri" w:cs="Calibri"/>
                <w:color w:val="000000"/>
                <w:sz w:val="22"/>
                <w:szCs w:val="22"/>
              </w:rPr>
            </w:pPr>
            <w:r>
              <w:rPr>
                <w:rFonts w:ascii="Calibri" w:hAnsi="Calibri" w:cs="Calibri"/>
                <w:color w:val="000000"/>
                <w:sz w:val="22"/>
                <w:szCs w:val="22"/>
              </w:rPr>
              <w:t>Kamenivo frakcia 32/63</w:t>
            </w:r>
          </w:p>
        </w:tc>
        <w:tc>
          <w:tcPr>
            <w:tcW w:w="2500" w:type="pct"/>
          </w:tcPr>
          <w:p w14:paraId="61097D80" w14:textId="0C82E30B" w:rsidR="000F2B08" w:rsidRDefault="000F2B08" w:rsidP="000F2B08">
            <w:pPr>
              <w:spacing w:after="0"/>
              <w:jc w:val="center"/>
              <w:rPr>
                <w:rFonts w:cs="Arial"/>
                <w:color w:val="000000"/>
                <w:szCs w:val="20"/>
              </w:rPr>
            </w:pPr>
            <w:r w:rsidRPr="0096396F">
              <w:t>500</w:t>
            </w:r>
          </w:p>
        </w:tc>
      </w:tr>
      <w:tr w:rsidR="000F2B08" w14:paraId="3B57B762" w14:textId="77777777" w:rsidTr="00D915DC">
        <w:tc>
          <w:tcPr>
            <w:tcW w:w="388" w:type="pct"/>
          </w:tcPr>
          <w:p w14:paraId="33BA5BDB" w14:textId="7C85E2D6" w:rsidR="000F2B08" w:rsidRDefault="000F2B08" w:rsidP="000F2B08">
            <w:pPr>
              <w:spacing w:after="0"/>
              <w:jc w:val="center"/>
              <w:rPr>
                <w:rFonts w:cs="Arial"/>
                <w:szCs w:val="20"/>
              </w:rPr>
            </w:pPr>
            <w:r>
              <w:rPr>
                <w:rFonts w:cs="Arial"/>
                <w:szCs w:val="20"/>
              </w:rPr>
              <w:t>9.</w:t>
            </w:r>
          </w:p>
        </w:tc>
        <w:tc>
          <w:tcPr>
            <w:tcW w:w="2112" w:type="pct"/>
            <w:vAlign w:val="bottom"/>
          </w:tcPr>
          <w:p w14:paraId="0F629D54" w14:textId="2C636E02" w:rsidR="000F2B08" w:rsidRDefault="000F2B08" w:rsidP="000F2B08">
            <w:pPr>
              <w:spacing w:after="0"/>
              <w:jc w:val="center"/>
              <w:rPr>
                <w:rFonts w:ascii="Calibri" w:hAnsi="Calibri" w:cs="Calibri"/>
                <w:color w:val="000000"/>
                <w:sz w:val="22"/>
                <w:szCs w:val="22"/>
              </w:rPr>
            </w:pPr>
            <w:r>
              <w:rPr>
                <w:rFonts w:ascii="Calibri" w:hAnsi="Calibri" w:cs="Calibri"/>
                <w:color w:val="000000"/>
                <w:sz w:val="22"/>
                <w:szCs w:val="22"/>
              </w:rPr>
              <w:t>Kamenivo frakcia 63/125</w:t>
            </w:r>
          </w:p>
        </w:tc>
        <w:tc>
          <w:tcPr>
            <w:tcW w:w="2500" w:type="pct"/>
          </w:tcPr>
          <w:p w14:paraId="553A5EE7" w14:textId="144CC948" w:rsidR="000F2B08" w:rsidRDefault="000F2B08" w:rsidP="000F2B08">
            <w:pPr>
              <w:spacing w:after="0"/>
              <w:jc w:val="center"/>
              <w:rPr>
                <w:rFonts w:cs="Arial"/>
                <w:color w:val="000000"/>
                <w:szCs w:val="20"/>
              </w:rPr>
            </w:pPr>
            <w:r w:rsidRPr="0096396F">
              <w:t>300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 xml:space="preserve">Výška DPH (v </w:t>
            </w:r>
            <w:bookmarkStart w:id="0" w:name="_GoBack"/>
            <w:bookmarkEnd w:id="0"/>
            <w:r w:rsidRPr="00C32FE4">
              <w:rPr>
                <w:color w:val="auto"/>
                <w:sz w:val="20"/>
                <w:szCs w:val="20"/>
                <w:highlight w:val="yellow"/>
              </w:rPr>
              <w:t>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 xml:space="preserve">Za týmto účelom Predávajúci  k podpisu zmluvy spolu so zoznamom subdodávateľov predloží čestné vyhlásenie, ktorým čestne a pravdivo prehlási, že vyššie uvedené skutočnosti overil pri </w:t>
      </w:r>
      <w:r w:rsidRPr="00EA3DDF">
        <w:rPr>
          <w:sz w:val="20"/>
          <w:szCs w:val="20"/>
        </w:rPr>
        <w:lastRenderedPageBreak/>
        <w:t>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9C578" w14:textId="77777777" w:rsidR="004E7588" w:rsidRDefault="004E7588">
      <w:r>
        <w:separator/>
      </w:r>
    </w:p>
  </w:endnote>
  <w:endnote w:type="continuationSeparator" w:id="0">
    <w:p w14:paraId="68B25759" w14:textId="77777777" w:rsidR="004E7588" w:rsidRDefault="004E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058E5507"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3106F">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3106F">
                    <w:rPr>
                      <w:bCs/>
                      <w:noProof/>
                      <w:sz w:val="18"/>
                      <w:szCs w:val="18"/>
                    </w:rPr>
                    <w:t>5</w:t>
                  </w:r>
                  <w:r w:rsidRPr="007C3D49">
                    <w:rPr>
                      <w:bCs/>
                      <w:sz w:val="18"/>
                      <w:szCs w:val="18"/>
                    </w:rPr>
                    <w:fldChar w:fldCharType="end"/>
                  </w:r>
                </w:p>
              </w:tc>
            </w:tr>
          </w:tbl>
          <w:p w14:paraId="6C1DB06B" w14:textId="09E36B81" w:rsidR="00AA185E" w:rsidRPr="002917A0" w:rsidRDefault="004E758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E7CE2" w14:textId="77777777" w:rsidR="004E7588" w:rsidRDefault="004E7588">
      <w:r>
        <w:separator/>
      </w:r>
    </w:p>
  </w:footnote>
  <w:footnote w:type="continuationSeparator" w:id="0">
    <w:p w14:paraId="2F71D19B" w14:textId="77777777" w:rsidR="004E7588" w:rsidRDefault="004E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8083-EBFE-4742-AEB6-623A4A1E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2222</Words>
  <Characters>12668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10</cp:revision>
  <cp:lastPrinted>2022-09-20T05:32:00Z</cp:lastPrinted>
  <dcterms:created xsi:type="dcterms:W3CDTF">2023-06-15T06:28:00Z</dcterms:created>
  <dcterms:modified xsi:type="dcterms:W3CDTF">2024-09-30T10:15:00Z</dcterms:modified>
  <cp:category>EIZ</cp:category>
</cp:coreProperties>
</file>