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righ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4"/>
          <w:szCs w:val="24"/>
          <w:u w:val="none"/>
          <w:em w:val="none"/>
        </w:rPr>
        <w:t>Załącznik nr 8 do SWZ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Nr referencyjny: BZP.271.32.2024  </w:t>
      </w:r>
    </w:p>
    <w:p>
      <w:pPr>
        <w:pStyle w:val="Tretekstu"/>
        <w:widowControl/>
        <w:suppressAutoHyphens w:val="true"/>
        <w:bidi w:val="0"/>
        <w:spacing w:lineRule="auto" w:line="276" w:before="480" w:after="0"/>
        <w:ind w:right="0" w:hanging="0"/>
        <w:jc w:val="left"/>
        <w:rPr>
          <w:rFonts w:ascii="Calibri" w:hAnsi="Calibri"/>
        </w:rPr>
      </w:pP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sz w:val="26"/>
          <w:szCs w:val="26"/>
          <w:u w:val="none"/>
          <w:shd w:fill="FFFFFF" w:val="clear"/>
          <w:em w:val="none"/>
          <w:lang w:val="pl-PL"/>
        </w:rPr>
        <w:t xml:space="preserve">Dotyczy: </w:t>
      </w:r>
      <w:r>
        <w:rPr>
          <w:rFonts w:eastAsia="Times New Roman" w:cs="Calibr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 „Bieżące utrzymanie czystości i porządku na terenie Gminy Andrychów w roku 2025”</w:t>
      </w:r>
    </w:p>
    <w:p>
      <w:pPr>
        <w:pStyle w:val="Normal"/>
        <w:spacing w:lineRule="auto" w:line="252" w:before="480" w:after="0"/>
        <w:ind w:hanging="0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</w:rPr>
        <w:t>Zamawiający: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Gmina Andrychów 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>Rynek</w:t>
      </w: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 15</w:t>
      </w:r>
    </w:p>
    <w:p>
      <w:pPr>
        <w:pStyle w:val="Normal"/>
        <w:spacing w:lineRule="auto" w:line="240" w:before="0" w:after="0"/>
        <w:ind w:hanging="0"/>
        <w:rPr>
          <w:rFonts w:ascii="Calibri" w:hAnsi="Calibri"/>
        </w:rPr>
      </w:pPr>
      <w:r>
        <w:rPr>
          <w:rFonts w:eastAsia="Liberation Serif;Times New Roman" w:cs="Liberation Serif;Times New Roman"/>
          <w:b w:val="false"/>
          <w:bCs w:val="false"/>
          <w:color w:val="000000"/>
          <w:sz w:val="24"/>
          <w:szCs w:val="24"/>
          <w:u w:val="none"/>
          <w:lang w:val="pl-PL" w:eastAsia="zh-CN" w:bidi="ar-SA"/>
        </w:rPr>
        <w:t xml:space="preserve">34-120 Andrychów </w:t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lineRule="auto" w:line="240" w:before="0" w:after="0"/>
        <w:ind w:left="5954" w:hanging="0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b/>
          <w:sz w:val="20"/>
          <w:szCs w:val="20"/>
        </w:rPr>
        <w:t>Podmiot udostępniający zasoby:</w:t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/>
          <w:sz w:val="20"/>
          <w:szCs w:val="20"/>
        </w:rPr>
        <w:t>.………</w:t>
      </w:r>
    </w:p>
    <w:p>
      <w:pPr>
        <w:pStyle w:val="Normal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before="0" w:after="0"/>
        <w:rPr>
          <w:rFonts w:ascii="Calibri" w:hAnsi="Calibri"/>
        </w:rPr>
      </w:pPr>
      <w:r>
        <w:rPr>
          <w:rFonts w:cs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Calibri" w:hAnsi="Calibri"/>
        </w:rPr>
      </w:pPr>
      <w:r>
        <w:rPr>
          <w:rFonts w:cs="Arial"/>
          <w:sz w:val="20"/>
          <w:szCs w:val="20"/>
        </w:rPr>
        <w:t>……………………………………………………………………………………………………………………………</w:t>
      </w:r>
      <w:r>
        <w:rPr>
          <w:rFonts w:cs="Arial"/>
          <w:sz w:val="20"/>
          <w:szCs w:val="20"/>
        </w:rPr>
        <w:t>...……</w:t>
      </w:r>
    </w:p>
    <w:p>
      <w:pPr>
        <w:pStyle w:val="Normal"/>
        <w:spacing w:before="0" w:after="0"/>
        <w:ind w:right="5953" w:hanging="0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(imię, nazwisko, stanowisko/podstawa do reprezentacji)</w:t>
      </w:r>
    </w:p>
    <w:p>
      <w:pPr>
        <w:pStyle w:val="Normal"/>
        <w:rPr>
          <w:rFonts w:ascii="Calibri" w:hAnsi="Calibri" w:cs="Arial"/>
        </w:rPr>
      </w:pPr>
      <w:r>
        <w:rPr>
          <w:rFonts w:cs="Arial"/>
        </w:rPr>
      </w:r>
    </w:p>
    <w:p>
      <w:pPr>
        <w:pStyle w:val="Normal"/>
        <w:spacing w:before="0" w:after="0"/>
        <w:rPr>
          <w:rFonts w:ascii="Calibri" w:hAnsi="Calibri" w:cs="Arial"/>
          <w:b/>
          <w:b/>
          <w:sz w:val="20"/>
          <w:szCs w:val="20"/>
        </w:rPr>
      </w:pPr>
      <w:r>
        <w:rPr>
          <w:rFonts w:cs="Arial"/>
          <w:b/>
          <w:sz w:val="20"/>
          <w:szCs w:val="20"/>
        </w:rPr>
      </w:r>
    </w:p>
    <w:p>
      <w:pPr>
        <w:pStyle w:val="Normal"/>
        <w:spacing w:lineRule="auto" w:line="360" w:before="0" w:after="120"/>
        <w:jc w:val="center"/>
        <w:rPr>
          <w:rFonts w:ascii="Calibri" w:hAnsi="Calibri"/>
        </w:rPr>
      </w:pPr>
      <w:r>
        <w:rPr>
          <w:rFonts w:cs="Arial"/>
          <w:b/>
          <w:u w:val="single"/>
        </w:rPr>
        <w:t xml:space="preserve">Oświadczenia podmiotu udostępniającego zasoby 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 w:val="false"/>
          <w:bCs w:val="false"/>
          <w:sz w:val="24"/>
          <w:szCs w:val="24"/>
          <w:u w:val="none"/>
        </w:rPr>
        <w:t xml:space="preserve">DOTYCZĄCE PRZESŁANEK WYKLUCZENIA Z ART. 5K ROZPORZĄDZENIA 833/2014 ORAZ ART. 7 UST. 1 USTAWY </w:t>
      </w:r>
      <w:r>
        <w:rPr>
          <w:rFonts w:cs="Arial"/>
          <w:b w:val="false"/>
          <w:bCs w:val="false"/>
          <w:caps/>
          <w:sz w:val="24"/>
          <w:szCs w:val="24"/>
          <w:u w:val="none"/>
        </w:rPr>
        <w:t>o szczególnych rozwiązaniach w zakresie przeciwdziałania wspieraniu agresji na Ukrainę oraz służących ochronie bezpieczeństwa narodowego</w:t>
      </w:r>
    </w:p>
    <w:p>
      <w:pPr>
        <w:pStyle w:val="Normal"/>
        <w:spacing w:lineRule="auto" w:line="360" w:before="120" w:after="0"/>
        <w:jc w:val="center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składane na podstawie art. 125 ust. 5 ustawy Pzp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Na potrzeby postępowania o udzielenie zamówienia publicznego </w:t>
      </w:r>
      <w:r>
        <w:rPr>
          <w:rFonts w:eastAsia="Calibri" w:cs="Arial" w:eastAsiaTheme="minorHAnsi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6"/>
          <w:szCs w:val="26"/>
          <w:u w:val="none"/>
          <w:shd w:fill="FFFFFF" w:val="clear"/>
          <w:em w:val="none"/>
          <w:lang w:val="pl-PL" w:eastAsia="en-US" w:bidi="ar-SA"/>
        </w:rPr>
        <w:t xml:space="preserve">pn.: </w:t>
      </w:r>
      <w:r>
        <w:rPr>
          <w:rFonts w:eastAsia="Calibri" w:cs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1"/>
          <w:kern w:val="0"/>
          <w:sz w:val="24"/>
          <w:szCs w:val="24"/>
          <w:u w:val="none"/>
          <w:shd w:fill="FFFFFF" w:val="clear"/>
          <w:em w:val="none"/>
          <w:lang w:val="pl-PL" w:eastAsia="en-US" w:bidi="ar-SA"/>
        </w:rPr>
        <w:t>„Bieżące utrzymanie czystości i porządku na terenie Gminy Andrychów w roku 2025”</w:t>
      </w:r>
      <w:r>
        <w:rPr>
          <w:rFonts w:eastAsia="Calibri" w:cs="Arial" w:eastAsiaTheme="minorHAnsi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1"/>
          <w:kern w:val="0"/>
          <w:sz w:val="24"/>
          <w:szCs w:val="24"/>
          <w:u w:val="none"/>
          <w:em w:val="none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,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 xml:space="preserve">prowadzonego przez </w:t>
      </w:r>
      <w:r>
        <w:rPr>
          <w:rFonts w:eastAsia="Calibri" w:cs="Arial" w:eastAsiaTheme="minorHAnsi"/>
          <w:b w:val="false"/>
          <w:bCs w:val="false"/>
          <w:color w:val="auto"/>
          <w:kern w:val="0"/>
          <w:sz w:val="24"/>
          <w:szCs w:val="24"/>
          <w:u w:val="none"/>
          <w:lang w:val="pl-PL" w:eastAsia="en-US" w:bidi="ar-SA"/>
        </w:rPr>
        <w:t xml:space="preserve">Gminę Andrychów, Rynek 15, 34-120 Andrychów </w:t>
      </w:r>
      <w:r>
        <w:rPr>
          <w:rFonts w:eastAsia="Calibri" w:cs="Arial" w:eastAsiaTheme="minorHAnsi"/>
          <w:i/>
          <w:color w:val="auto"/>
          <w:kern w:val="0"/>
          <w:sz w:val="24"/>
          <w:szCs w:val="24"/>
          <w:lang w:val="pl-PL" w:eastAsia="en-US" w:bidi="ar-SA"/>
        </w:rPr>
        <w:t xml:space="preserve">, </w:t>
      </w: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  <w:t>oświadczam, co następuje:</w:t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pacing w:lineRule="auto" w:line="360" w:before="240" w:after="0"/>
        <w:ind w:hanging="0"/>
        <w:jc w:val="left"/>
        <w:rPr>
          <w:rFonts w:ascii="Calibri" w:hAnsi="Calibri"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pPr>
      <w:r>
        <w:rPr>
          <w:rFonts w:eastAsia="Calibri" w:cs="Arial" w:eastAsiaTheme="minorHAnsi"/>
          <w:color w:val="auto"/>
          <w:kern w:val="0"/>
          <w:sz w:val="24"/>
          <w:szCs w:val="24"/>
          <w:lang w:val="pl-PL" w:eastAsia="en-US" w:bidi="ar-SA"/>
        </w:rPr>
      </w:r>
    </w:p>
    <w:p>
      <w:pPr>
        <w:pStyle w:val="Normal"/>
        <w:shd w:val="clear" w:color="auto" w:fill="BFBFBF" w:themeFill="background1" w:themeFillShade="bf"/>
        <w:spacing w:lineRule="auto" w:line="360" w:before="360" w:after="0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OŚWIADCZENIA DOTYCZĄCE PODMIOTU UDOSTEPNIAJĄCEGO ZASOBY:</w:t>
      </w:r>
    </w:p>
    <w:p>
      <w:pPr>
        <w:pStyle w:val="ListParagraph"/>
        <w:numPr>
          <w:ilvl w:val="0"/>
          <w:numId w:val="2"/>
        </w:numPr>
        <w:spacing w:lineRule="auto" w:line="360" w:before="360" w:after="0"/>
        <w:contextualSpacing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 z późn.zm.),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 z późn.zm.), dalej: rozporządzenie 2022/576.</w:t>
      </w:r>
      <w:r>
        <w:rPr>
          <w:rStyle w:val="Zakotwiczenieprzypisudolnego"/>
          <w:rFonts w:cs="Arial"/>
          <w:sz w:val="24"/>
          <w:szCs w:val="24"/>
        </w:rPr>
        <w:footnoteReference w:id="2"/>
      </w:r>
    </w:p>
    <w:p>
      <w:pPr>
        <w:pStyle w:val="NormalWeb"/>
        <w:numPr>
          <w:ilvl w:val="0"/>
          <w:numId w:val="2"/>
        </w:numPr>
        <w:spacing w:lineRule="auto" w:line="360" w:before="0" w:after="0"/>
        <w:jc w:val="left"/>
        <w:rPr>
          <w:rFonts w:ascii="Calibri" w:hAnsi="Calibri"/>
        </w:rPr>
      </w:pPr>
      <w:r>
        <w:rPr>
          <w:rFonts w:cs="Arial" w:ascii="Calibri" w:hAnsi="Calibri"/>
          <w:sz w:val="24"/>
          <w:szCs w:val="24"/>
        </w:rPr>
        <w:t xml:space="preserve">Oświadczam, że nie zachodzą w stosunku do mnie przesłanki wykluczenia z postępowania na podstawie art. </w:t>
      </w:r>
      <w:r>
        <w:rPr>
          <w:rFonts w:eastAsia="Times New Roman" w:cs="Arial" w:ascii="Calibri" w:hAnsi="Calibri"/>
          <w:color w:val="222222"/>
          <w:sz w:val="24"/>
          <w:szCs w:val="24"/>
          <w:lang w:eastAsia="pl-PL"/>
        </w:rPr>
        <w:t xml:space="preserve">7 ust. 1 ustawy </w:t>
      </w:r>
      <w:r>
        <w:rPr>
          <w:rFonts w:cs="Arial" w:ascii="Calibri" w:hAnsi="Calibri"/>
          <w:color w:val="222222"/>
          <w:sz w:val="24"/>
          <w:szCs w:val="24"/>
        </w:rPr>
        <w:t>z dnia 13 kwietnia 2022 r.</w:t>
      </w:r>
      <w:r>
        <w:rPr>
          <w:rFonts w:cs="Arial" w:ascii="Calibri" w:hAnsi="Calibri"/>
          <w:i/>
          <w:iCs/>
          <w:color w:val="222222"/>
          <w:sz w:val="24"/>
          <w:szCs w:val="24"/>
        </w:rPr>
        <w:t xml:space="preserve"> o szczególnych rozwiązaniach w zakresie przeciwdziałania wspieraniu agresji na Ukrainę oraz służących ochronie bezpieczeństwa narodowego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(t.j. Dz.U.202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>4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 xml:space="preserve"> poz. 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>507</w:t>
      </w:r>
      <w:r>
        <w:rPr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t>).</w:t>
      </w:r>
      <w:r>
        <w:rPr>
          <w:rStyle w:val="Zakotwiczenieprzypisudolnego"/>
          <w:rFonts w:eastAsia="Calibri" w:cs="Arial" w:ascii="Calibri" w:hAnsi="Calibri"/>
          <w:i/>
          <w:iCs/>
          <w:color w:val="222222"/>
          <w:kern w:val="0"/>
          <w:sz w:val="24"/>
          <w:szCs w:val="24"/>
          <w:lang w:val="pl-PL" w:eastAsia="en-US" w:bidi="ar-SA"/>
        </w:rPr>
        <w:footnoteReference w:id="3"/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Calibri" w:hAnsi="Calibri" w:cs="Arial"/>
          <w:i/>
          <w:i/>
          <w:sz w:val="16"/>
          <w:szCs w:val="16"/>
        </w:rPr>
      </w:pPr>
      <w:r>
        <w:rPr>
          <w:rFonts w:cs="Arial"/>
          <w:i/>
          <w:sz w:val="16"/>
          <w:szCs w:val="16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b/>
          <w:b/>
        </w:rPr>
      </w:pPr>
      <w:r>
        <w:rPr>
          <w:rFonts w:cs="Arial"/>
          <w:b/>
        </w:rPr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360" w:before="0" w:after="0"/>
        <w:jc w:val="both"/>
        <w:rPr>
          <w:rFonts w:ascii="Calibri" w:hAnsi="Calibri" w:cs="Arial"/>
          <w:sz w:val="20"/>
          <w:szCs w:val="20"/>
        </w:rPr>
      </w:pPr>
      <w:r>
        <w:rPr>
          <w:rFonts w:cs="Arial"/>
          <w:sz w:val="20"/>
          <w:szCs w:val="20"/>
        </w:rPr>
      </w:r>
    </w:p>
    <w:p>
      <w:pPr>
        <w:pStyle w:val="Normal"/>
        <w:shd w:val="clear" w:color="auto" w:fill="BFBFBF" w:themeFill="background1" w:themeFillShade="bf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b/>
          <w:sz w:val="21"/>
          <w:szCs w:val="21"/>
        </w:rPr>
        <w:t>INFORMACJA DOTYCZĄCA DOSTĘPU DO PODMIOTOWYCH ŚRODKÓW DOWODOWYCH:</w:t>
      </w:r>
    </w:p>
    <w:p>
      <w:pPr>
        <w:pStyle w:val="Normal"/>
        <w:spacing w:lineRule="auto" w:line="360" w:before="0" w:after="120"/>
        <w:jc w:val="both"/>
        <w:rPr>
          <w:rFonts w:ascii="Calibri" w:hAnsi="Calibri"/>
        </w:rPr>
      </w:pPr>
      <w:r>
        <w:rPr>
          <w:rFonts w:cs="Arial"/>
          <w:sz w:val="24"/>
          <w:szCs w:val="24"/>
        </w:rPr>
        <w:t>Wskazuję następujące podmiotowe środki dowodowe, które można uzyskać za pomocą bezpłatnych i ogólnodostępnych baz danych, oraz</w:t>
      </w:r>
      <w:r>
        <w:rPr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dane umożliwiające dostęp do tych środków: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>
          <w:rFonts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>
      <w:pPr>
        <w:pStyle w:val="Normal"/>
        <w:spacing w:lineRule="auto" w:line="360" w:before="0" w:after="0"/>
        <w:jc w:val="left"/>
        <w:rPr>
          <w:rFonts w:ascii="Calibri" w:hAnsi="Calibri" w:cs="Arial"/>
          <w:sz w:val="21"/>
          <w:szCs w:val="21"/>
        </w:rPr>
      </w:pPr>
      <w:r>
        <w:rPr>
          <w:rFonts w:cs="Arial"/>
          <w:sz w:val="21"/>
          <w:szCs w:val="21"/>
        </w:rPr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both"/>
        <w:rPr>
          <w:rFonts w:ascii="Calibri" w:hAnsi="Calibri"/>
        </w:rPr>
      </w:pPr>
      <w:r>
        <w:rPr>
          <w:rFonts w:cs="Arial"/>
          <w:sz w:val="21"/>
          <w:szCs w:val="21"/>
        </w:rPr>
        <w:t xml:space="preserve">  ……</w:t>
      </w:r>
      <w:r>
        <w:rPr>
          <w:rFonts w:cs="Arial"/>
          <w:sz w:val="21"/>
          <w:szCs w:val="21"/>
        </w:rPr>
        <w:t>...……………………………….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cs="Arial"/>
          <w:i/>
          <w:sz w:val="16"/>
          <w:szCs w:val="16"/>
        </w:rPr>
        <w:t xml:space="preserve">   </w:t>
      </w:r>
      <w:r>
        <w:rPr>
          <w:rFonts w:cs="Arial"/>
          <w:i/>
          <w:sz w:val="16"/>
          <w:szCs w:val="16"/>
        </w:rPr>
        <w:t xml:space="preserve">Data;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podpis Podmiotu/ osoby upoważnionej</w:t>
      </w:r>
    </w:p>
    <w:p>
      <w:pPr>
        <w:pStyle w:val="Normal"/>
        <w:widowControl/>
        <w:suppressAutoHyphens w:val="true"/>
        <w:bidi w:val="0"/>
        <w:spacing w:lineRule="auto" w:line="360" w:before="0" w:after="160"/>
        <w:ind w:left="0" w:right="0" w:firstLine="4479"/>
        <w:jc w:val="left"/>
        <w:rPr>
          <w:rFonts w:ascii="Calibri" w:hAnsi="Calibri"/>
        </w:rPr>
      </w:pP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 xml:space="preserve">  </w:t>
      </w:r>
      <w:r>
        <w:rPr>
          <w:rFonts w:eastAsia="Calibri" w:cs="Arial" w:eastAsiaTheme="minorHAnsi"/>
          <w:i/>
          <w:iCs/>
          <w:color w:val="auto"/>
          <w:kern w:val="0"/>
          <w:sz w:val="16"/>
          <w:szCs w:val="16"/>
          <w:lang w:val="pl-PL" w:eastAsia="en-US" w:bidi="ar-SA"/>
        </w:rPr>
        <w:t>do reprezentacji Podmiotu (</w:t>
      </w:r>
      <w:bookmarkStart w:id="0" w:name="_Hlk102639179"/>
      <w:r>
        <w:rPr>
          <w:rFonts w:cs="Arial"/>
          <w:i/>
          <w:sz w:val="16"/>
          <w:szCs w:val="16"/>
        </w:rPr>
        <w:t>k</w:t>
      </w:r>
      <w:bookmarkStart w:id="1" w:name="_GoBack"/>
      <w:bookmarkEnd w:id="1"/>
      <w:r>
        <w:rPr>
          <w:rFonts w:cs="Arial"/>
          <w:i/>
          <w:sz w:val="16"/>
          <w:szCs w:val="16"/>
        </w:rPr>
        <w:t xml:space="preserve">walifikowany podpis elektroniczny) </w:t>
      </w:r>
      <w:bookmarkEnd w:id="0"/>
    </w:p>
    <w:p>
      <w:pPr>
        <w:pStyle w:val="Normal"/>
        <w:spacing w:lineRule="auto" w:line="360" w:before="0" w:after="0"/>
        <w:jc w:val="both"/>
        <w:rPr>
          <w:rFonts w:ascii="Calibri" w:hAnsi="Calibri"/>
        </w:rPr>
      </w:pPr>
      <w:r>
        <w:rPr/>
      </w:r>
    </w:p>
    <w:sectPr>
      <w:headerReference w:type="default" r:id="rId2"/>
      <w:footnotePr>
        <w:numFmt w:val="decimal"/>
      </w:footnotePr>
      <w:type w:val="nextPage"/>
      <w:pgSz w:w="11906" w:h="16838"/>
      <w:pgMar w:left="1134" w:right="1134" w:gutter="0" w:header="283" w:top="1007" w:footer="0" w:bottom="283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obywateli rosyjskich lub osób fizycznych lub prawnych, podmiotów lub organów z siedzibą w Rosji;</w:t>
      </w:r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cs="Arial" w:ascii="Arial" w:hAnsi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>
      <w:pPr>
        <w:pStyle w:val="Przypisdolny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>
      <w:pPr>
        <w:pStyle w:val="Przypisdolny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3"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cs="Arial" w:ascii="Arial" w:hAnsi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cs="Arial" w:ascii="Arial" w:hAnsi="Arial"/>
          <w:color w:val="222222"/>
          <w:sz w:val="16"/>
          <w:szCs w:val="16"/>
        </w:rPr>
        <w:t xml:space="preserve">z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color w:val="222222"/>
          <w:sz w:val="16"/>
          <w:szCs w:val="16"/>
          <w:lang w:eastAsia="pl-PL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cs="Arial" w:ascii="Arial" w:hAnsi="Arial"/>
          <w:color w:val="222222"/>
          <w:sz w:val="16"/>
          <w:szCs w:val="16"/>
        </w:rPr>
        <w:t xml:space="preserve">2) </w:t>
      </w: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eastAsia="Times New Roman" w:cs="Arial" w:ascii="Arial" w:hAnsi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suppressLineNumbers/>
      <w:spacing w:before="0" w:after="16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81585"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d81585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d81585"/>
    <w:rPr>
      <w:vertAlign w:val="superscript"/>
    </w:rPr>
  </w:style>
  <w:style w:type="character" w:styleId="Czeinternetowe">
    <w:name w:val="Hyperlink"/>
    <w:basedOn w:val="DefaultParagraphFont"/>
    <w:uiPriority w:val="99"/>
    <w:unhideWhenUsed/>
    <w:rsid w:val="00d81585"/>
    <w:rPr>
      <w:color w:val="0563C1" w:themeColor="hyperlink"/>
      <w:u w:val="single"/>
    </w:rPr>
  </w:style>
  <w:style w:type="character" w:styleId="Wyrnienie">
    <w:name w:val="Emphasis"/>
    <w:basedOn w:val="DefaultParagraphFont"/>
    <w:uiPriority w:val="20"/>
    <w:qFormat/>
    <w:rsid w:val="003b1084"/>
    <w:rPr>
      <w:i/>
      <w:iCs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5b1094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qFormat/>
    <w:rsid w:val="005b1094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5b1094"/>
    <w:rPr>
      <w:b/>
      <w:bCs/>
      <w:sz w:val="20"/>
      <w:szCs w:val="20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Odwiedzoneczeinternetowe">
    <w:name w:val="FollowedHyperlink"/>
    <w:rPr>
      <w:color w:val="800000"/>
      <w:u w:val="single"/>
      <w:lang w:val="zxx" w:eastAsia="zxx" w:bidi="zxx"/>
    </w:rPr>
  </w:style>
  <w:style w:type="character" w:styleId="Domylnaczcionkaakapitu">
    <w:name w:val="Domyślna czcionka akapitu"/>
    <w:qFormat/>
    <w:rPr/>
  </w:style>
  <w:style w:type="character" w:styleId="FontStyle33">
    <w:name w:val="Font Style33"/>
    <w:qFormat/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Domylnaczcionkaakapitu2">
    <w:name w:val="Domyślna czcionka akapitu2"/>
    <w:qFormat/>
    <w:rPr/>
  </w:style>
  <w:style w:type="character" w:styleId="Odwoanieprzypisudolnego">
    <w:name w:val="Odwołanie przypisu dolnego"/>
    <w:qFormat/>
    <w:rPr>
      <w:vertAlign w:val="superscript"/>
    </w:rPr>
  </w:style>
  <w:style w:type="character" w:styleId="WW8Num3z1">
    <w:name w:val="WW8Num3z1"/>
    <w:qFormat/>
    <w:rPr/>
  </w:style>
  <w:style w:type="character" w:styleId="WW8Num3z0">
    <w:name w:val="WW8Num3z0"/>
    <w:qFormat/>
    <w:rPr>
      <w:rFonts w:ascii="Calibri" w:hAnsi="Calibri" w:cs="Calibri"/>
      <w:b w:val="false"/>
      <w:bCs w:val="false"/>
      <w:kern w:val="2"/>
      <w:sz w:val="22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d81585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5b5344"/>
    <w:pPr>
      <w:spacing w:before="0" w:after="16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5b5344"/>
    <w:pPr>
      <w:spacing w:lineRule="auto" w:line="259"/>
    </w:pPr>
    <w:rPr>
      <w:rFonts w:ascii="Times New Roman" w:hAnsi="Times New Roman" w:cs="Times New Roman"/>
      <w:sz w:val="24"/>
      <w:szCs w:val="24"/>
    </w:rPr>
  </w:style>
  <w:style w:type="paragraph" w:styleId="Annotationtext">
    <w:name w:val="annotation text"/>
    <w:basedOn w:val="Normal"/>
    <w:link w:val="TekstkomentarzaZnak"/>
    <w:uiPriority w:val="99"/>
    <w:unhideWhenUsed/>
    <w:qFormat/>
    <w:rsid w:val="005b109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b1094"/>
    <w:pPr/>
    <w:rPr>
      <w:b/>
      <w:bCs/>
    </w:rPr>
  </w:style>
  <w:style w:type="paragraph" w:styleId="Revision">
    <w:name w:val="Revision"/>
    <w:uiPriority w:val="99"/>
    <w:semiHidden/>
    <w:qFormat/>
    <w:rsid w:val="009673a4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Gwkaistopka">
    <w:name w:val="Główka i stopka"/>
    <w:basedOn w:val="Normal"/>
    <w:qFormat/>
    <w:pPr>
      <w:suppressLineNumbers/>
      <w:tabs>
        <w:tab w:val="clear" w:pos="708"/>
        <w:tab w:val="center" w:pos="4627" w:leader="none"/>
        <w:tab w:val="right" w:pos="9255" w:leader="none"/>
      </w:tabs>
    </w:pPr>
    <w:rPr/>
  </w:style>
  <w:style w:type="paragraph" w:styleId="Gwka">
    <w:name w:val="Header"/>
    <w:basedOn w:val="Gwkaistopka"/>
    <w:pPr>
      <w:suppressLineNumbers/>
    </w:pPr>
    <w:rPr/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LibreOffice/7.4.7.2$Windows_X86_64 LibreOffice_project/723314e595e8007d3cf785c16538505a1c878ca5</Application>
  <AppVersion>15.0000</AppVersion>
  <Pages>3</Pages>
  <Words>842</Words>
  <Characters>5334</Characters>
  <CharactersWithSpaces>6141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Artur</dc:creator>
  <dc:description/>
  <dc:language>pl-PL</dc:language>
  <cp:lastModifiedBy/>
  <dcterms:modified xsi:type="dcterms:W3CDTF">2024-11-05T14:59:55Z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urn:bails:IntellectualProperty:Authorization:StartValidity">
    <vt:lpwstr>2022-06-23T12:03:15,536000000</vt:lpwstr>
  </property>
  <property fmtid="{D5CDD505-2E9C-101B-9397-08002B2CF9AE}" pid="3" name="urn:bails:IntellectualProperty:Authorization:StopValidity">
    <vt:lpwstr>None</vt:lpwstr>
  </property>
  <property fmtid="{D5CDD505-2E9C-101B-9397-08002B2CF9AE}" pid="4" name="urn:bails:IntellectualProperty:BusinessAuthorization:Identifier">
    <vt:lpwstr>urn:example:tscp:1</vt:lpwstr>
  </property>
  <property fmtid="{D5CDD505-2E9C-101B-9397-08002B2CF9AE}" pid="5" name="urn:bails:IntellectualProperty:BusinessAuthorization:Locator">
    <vt:lpwstr>None</vt:lpwstr>
  </property>
  <property fmtid="{D5CDD505-2E9C-101B-9397-08002B2CF9AE}" pid="6" name="urn:bails:IntellectualProperty:BusinessAuthorization:Name">
    <vt:lpwstr>None</vt:lpwstr>
  </property>
  <property fmtid="{D5CDD505-2E9C-101B-9397-08002B2CF9AE}" pid="7" name="urn:bails:IntellectualProperty:BusinessAuthorizationCategory:Identifier">
    <vt:lpwstr>urn:example:tscp:1:non-business</vt:lpwstr>
  </property>
  <property fmtid="{D5CDD505-2E9C-101B-9397-08002B2CF9AE}" pid="8" name="urn:bails:IntellectualProperty:BusinessAuthorizationCategory:Identifier:OID">
    <vt:lpwstr>None</vt:lpwstr>
  </property>
  <property fmtid="{D5CDD505-2E9C-101B-9397-08002B2CF9AE}" pid="9" name="urn:bails:IntellectualProperty:BusinessAuthorizationCategory:Locator">
    <vt:lpwstr>None</vt:lpwstr>
  </property>
  <property fmtid="{D5CDD505-2E9C-101B-9397-08002B2CF9AE}" pid="10" name="urn:bails:IntellectualProperty:BusinessAuthorizationCategory:Name">
    <vt:lpwstr>Non-Business</vt:lpwstr>
  </property>
  <property fmtid="{D5CDD505-2E9C-101B-9397-08002B2CF9AE}" pid="11" name="urn:bails:IntellectualProperty:CreationOrigin">
    <vt:lpwstr>BAF_POLICY</vt:lpwstr>
  </property>
  <property fmtid="{D5CDD505-2E9C-101B-9397-08002B2CF9AE}" pid="12" name="urn:bails:IntellectualProperty:Impact:Level:Availability">
    <vt:lpwstr>0</vt:lpwstr>
  </property>
  <property fmtid="{D5CDD505-2E9C-101B-9397-08002B2CF9AE}" pid="13" name="urn:bails:IntellectualProperty:Impact:Level:Confidentiality">
    <vt:lpwstr>0</vt:lpwstr>
  </property>
  <property fmtid="{D5CDD505-2E9C-101B-9397-08002B2CF9AE}" pid="14" name="urn:bails:IntellectualProperty:Impact:Level:Integrity">
    <vt:lpwstr>0</vt:lpwstr>
  </property>
  <property fmtid="{D5CDD505-2E9C-101B-9397-08002B2CF9AE}" pid="15" name="urn:bails:IntellectualProperty:Impact:Scale">
    <vt:lpwstr>UK-Cabinet</vt:lpwstr>
  </property>
  <property fmtid="{D5CDD505-2E9C-101B-9397-08002B2CF9AE}" pid="16" name="urn:bails:IntellectualProperty:Marking:document-footer">
    <vt:lpwstr/>
  </property>
  <property fmtid="{D5CDD505-2E9C-101B-9397-08002B2CF9AE}" pid="17" name="urn:bails:IntellectualProperty:Marking:document-header">
    <vt:lpwstr/>
  </property>
  <property fmtid="{D5CDD505-2E9C-101B-9397-08002B2CF9AE}" pid="18" name="urn:bails:IntellectualProperty:Marking:document-watermark">
    <vt:lpwstr/>
  </property>
  <property fmtid="{D5CDD505-2E9C-101B-9397-08002B2CF9AE}" pid="19" name="urn:bails:IntellectualProperty:Marking:email-first-line-of-text">
    <vt:lpwstr/>
  </property>
  <property fmtid="{D5CDD505-2E9C-101B-9397-08002B2CF9AE}" pid="20" name="urn:bails:IntellectualProperty:Marking:email-last-line-of-text">
    <vt:lpwstr/>
  </property>
  <property fmtid="{D5CDD505-2E9C-101B-9397-08002B2CF9AE}" pid="21" name="urn:bails:IntellectualProperty:Marking:email-subject-prefix">
    <vt:lpwstr/>
  </property>
  <property fmtid="{D5CDD505-2E9C-101B-9397-08002B2CF9AE}" pid="22" name="urn:bails:IntellectualProperty:Marking:email-subject-suffix">
    <vt:lpwstr/>
  </property>
  <property fmtid="{D5CDD505-2E9C-101B-9397-08002B2CF9AE}" pid="23" name="urn:bails:IntellectualProperty:Marking:general-distribution-statement">
    <vt:lpwstr/>
  </property>
  <property fmtid="{D5CDD505-2E9C-101B-9397-08002B2CF9AE}" pid="24" name="urn:bails:IntellectualProperty:Marking:general-distribution-statement:ext:2">
    <vt:lpwstr/>
  </property>
  <property fmtid="{D5CDD505-2E9C-101B-9397-08002B2CF9AE}" pid="25" name="urn:bails:IntellectualProperty:Marking:general-distribution-statement:ext:3">
    <vt:lpwstr/>
  </property>
  <property fmtid="{D5CDD505-2E9C-101B-9397-08002B2CF9AE}" pid="26" name="urn:bails:IntellectualProperty:Marking:general-distribution-statement:ext:4">
    <vt:lpwstr/>
  </property>
  <property fmtid="{D5CDD505-2E9C-101B-9397-08002B2CF9AE}" pid="27" name="urn:bails:IntellectualProperty:Marking:general-summary">
    <vt:lpwstr/>
  </property>
  <property fmtid="{D5CDD505-2E9C-101B-9397-08002B2CF9AE}" pid="28" name="urn:bails:IntellectualProperty:Marking:general-warning-statement">
    <vt:lpwstr/>
  </property>
  <property fmtid="{D5CDD505-2E9C-101B-9397-08002B2CF9AE}" pid="29" name="urn:bails:IntellectualProperty:Marking:general-warning-statement:ext:2">
    <vt:lpwstr/>
  </property>
  <property fmtid="{D5CDD505-2E9C-101B-9397-08002B2CF9AE}" pid="30" name="urn:bails:IntellectualProperty:Marking:general-warning-statement:ext:3">
    <vt:lpwstr/>
  </property>
  <property fmtid="{D5CDD505-2E9C-101B-9397-08002B2CF9AE}" pid="31" name="urn:bails:IntellectualProperty:Marking:general-warning-statement:ext:4">
    <vt:lpwstr/>
  </property>
  <property fmtid="{D5CDD505-2E9C-101B-9397-08002B2CF9AE}" pid="32" name="urn:bails:IntellectualProperty:MarkingPrecedence">
    <vt:lpwstr>None</vt:lpwstr>
  </property>
  <property fmtid="{D5CDD505-2E9C-101B-9397-08002B2CF9AE}" pid="33" name="urn:bails:IntellectualProperty:Policy:Identifier">
    <vt:lpwstr>None</vt:lpwstr>
  </property>
  <property fmtid="{D5CDD505-2E9C-101B-9397-08002B2CF9AE}" pid="34" name="urn:bails:IntellectualProperty:Policy:Name">
    <vt:lpwstr>TSCP Example Policy</vt:lpwstr>
  </property>
  <property fmtid="{D5CDD505-2E9C-101B-9397-08002B2CF9AE}" pid="35" name="urn:bails:IntellectualProperty:PolicyAuthority:Country">
    <vt:lpwstr>None</vt:lpwstr>
  </property>
  <property fmtid="{D5CDD505-2E9C-101B-9397-08002B2CF9AE}" pid="36" name="urn:bails:IntellectualProperty:PolicyAuthority:Identifier">
    <vt:lpwstr>None</vt:lpwstr>
  </property>
  <property fmtid="{D5CDD505-2E9C-101B-9397-08002B2CF9AE}" pid="37" name="urn:bails:IntellectualProperty:PolicyAuthority:Name">
    <vt:lpwstr>TSCP Example Policy Authority</vt:lpwstr>
  </property>
</Properties>
</file>