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2BF3C126"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-2024/000</w:t>
      </w:r>
      <w:r w:rsidR="006F118A">
        <w:rPr>
          <w:rFonts w:ascii="Arial Narrow" w:hAnsi="Arial Narrow"/>
          <w:sz w:val="24"/>
          <w:szCs w:val="24"/>
          <w:lang w:eastAsia="sk-SK"/>
        </w:rPr>
        <w:t>920</w:t>
      </w:r>
      <w:bookmarkStart w:id="0" w:name="_GoBack"/>
      <w:bookmarkEnd w:id="0"/>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4BB0CBFB" w:rsidR="00EF7463" w:rsidRPr="00C677FE" w:rsidRDefault="00321FA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Operačné stredisko záchrannej zdravotnej služby SR</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40E618CB"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1"/>
      <w:r w:rsidR="005D23BA" w:rsidRPr="007777C0">
        <w:rPr>
          <w:rFonts w:ascii="Arial Narrow" w:hAnsi="Arial Narrow"/>
          <w:b/>
          <w:bCs/>
          <w:sz w:val="22"/>
          <w:szCs w:val="22"/>
          <w:lang w:val="sk-SK"/>
        </w:rPr>
        <w:t>„</w:t>
      </w:r>
      <w:r w:rsidR="006F40CE">
        <w:rPr>
          <w:rFonts w:ascii="Arial Narrow" w:hAnsi="Arial Narrow"/>
          <w:b/>
          <w:bCs/>
          <w:sz w:val="22"/>
          <w:lang w:val="sk-SK"/>
        </w:rPr>
        <w:t>Nákup automobilov</w:t>
      </w:r>
      <w:r w:rsidR="007F1229">
        <w:rPr>
          <w:rFonts w:ascii="Arial Narrow" w:hAnsi="Arial Narrow"/>
          <w:b/>
          <w:bCs/>
          <w:sz w:val="22"/>
          <w:lang w:val="sk-SK"/>
        </w:rPr>
        <w:t xml:space="preserve"> pre OS ZZS</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7F1229">
        <w:rPr>
          <w:rFonts w:ascii="Arial Narrow" w:hAnsi="Arial Narrow"/>
          <w:i/>
          <w:iCs/>
          <w:sz w:val="22"/>
          <w:szCs w:val="22"/>
          <w:lang w:val="sk-SK"/>
        </w:rPr>
        <w:t>6</w:t>
      </w:r>
      <w:r w:rsidR="006F40CE">
        <w:rPr>
          <w:rFonts w:ascii="Arial Narrow" w:hAnsi="Arial Narrow"/>
          <w:i/>
          <w:iCs/>
          <w:sz w:val="22"/>
          <w:szCs w:val="22"/>
          <w:lang w:val="sk-SK"/>
        </w:rPr>
        <w:t>1798</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4D019C12" w14:textId="797760EC"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Predávajúci dodá návrh montážneho predpisu Svetelné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a zvukové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výstražné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zariadeni</w:t>
      </w:r>
      <w:r w:rsidRPr="00CB3EE4">
        <w:rPr>
          <w:rFonts w:ascii="Arial Narrow" w:hAnsi="Arial Narrow"/>
          <w:color w:val="000000" w:themeColor="text1"/>
          <w:sz w:val="22"/>
          <w:szCs w:val="22"/>
          <w:lang w:val="sk-SK"/>
        </w:rPr>
        <w:t>a</w:t>
      </w:r>
      <w:r w:rsidRPr="00CB3EE4">
        <w:rPr>
          <w:rFonts w:ascii="Arial Narrow" w:hAnsi="Arial Narrow"/>
          <w:color w:val="000000" w:themeColor="text1"/>
          <w:sz w:val="22"/>
          <w:szCs w:val="22"/>
        </w:rPr>
        <w:t xml:space="preserve"> pre skrytú montáž (celej zostavy</w:t>
      </w:r>
      <w:r w:rsidRPr="00CB3EE4">
        <w:rPr>
          <w:rFonts w:ascii="Arial Narrow" w:hAnsi="Arial Narrow"/>
          <w:color w:val="000000" w:themeColor="text1"/>
          <w:sz w:val="22"/>
          <w:szCs w:val="22"/>
          <w:lang w:val="sk-SK"/>
        </w:rPr>
        <w:t> </w:t>
      </w:r>
      <w:r w:rsidRPr="00CB3EE4">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w:t>
      </w:r>
      <w:r>
        <w:rPr>
          <w:rFonts w:ascii="Arial Narrow" w:hAnsi="Arial Narrow"/>
          <w:color w:val="000000" w:themeColor="text1"/>
          <w:sz w:val="22"/>
          <w:szCs w:val="22"/>
        </w:rPr>
        <w:t>žného zariadenia, blokovú schém</w:t>
      </w:r>
      <w:r w:rsidRPr="00CB3EE4">
        <w:rPr>
          <w:rFonts w:ascii="Arial Narrow" w:hAnsi="Arial Narrow"/>
          <w:color w:val="000000" w:themeColor="text1"/>
          <w:sz w:val="22"/>
          <w:szCs w:val="22"/>
        </w:rPr>
        <w:t>u zapojenia, fotografie držiakov a prípravkov ak sú potrebné pre montáž a pod.</w:t>
      </w:r>
    </w:p>
    <w:p w14:paraId="51CD2BF0" w14:textId="77777777" w:rsidR="00CB3EE4" w:rsidRPr="00CB3EE4" w:rsidRDefault="00CB3EE4" w:rsidP="00CB3EE4">
      <w:pPr>
        <w:pStyle w:val="Odsekzoznamu"/>
        <w:rPr>
          <w:rFonts w:ascii="Arial Narrow" w:hAnsi="Arial Narrow"/>
          <w:color w:val="000000" w:themeColor="text1"/>
          <w:sz w:val="22"/>
          <w:szCs w:val="22"/>
        </w:rPr>
      </w:pPr>
    </w:p>
    <w:p w14:paraId="471B8861"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 xml:space="preserve">Kupujúci </w:t>
      </w:r>
      <w:r w:rsidRPr="00CB3EE4">
        <w:rPr>
          <w:rFonts w:ascii="Arial Narrow" w:hAnsi="Arial Narrow"/>
          <w:color w:val="000000" w:themeColor="text1"/>
          <w:sz w:val="22"/>
          <w:szCs w:val="22"/>
          <w:lang w:val="sk-SK"/>
        </w:rPr>
        <w:t>schváli alebo s pripomienkami zamietne montážny predpis do 14 pracovných dní od jeho dodania</w:t>
      </w:r>
      <w:r w:rsidRPr="00CB3EE4">
        <w:rPr>
          <w:rFonts w:ascii="Arial Narrow" w:hAnsi="Arial Narrow"/>
          <w:color w:val="000000" w:themeColor="text1"/>
          <w:sz w:val="22"/>
          <w:szCs w:val="22"/>
        </w:rPr>
        <w:t>.</w:t>
      </w:r>
    </w:p>
    <w:p w14:paraId="064BC430" w14:textId="77777777" w:rsidR="00CB3EE4" w:rsidRPr="00CB3EE4" w:rsidRDefault="00CB3EE4" w:rsidP="00CB3EE4">
      <w:pPr>
        <w:pStyle w:val="CTL"/>
        <w:numPr>
          <w:ilvl w:val="0"/>
          <w:numId w:val="0"/>
        </w:numPr>
        <w:tabs>
          <w:tab w:val="left" w:pos="567"/>
        </w:tabs>
        <w:spacing w:after="0"/>
        <w:ind w:left="567"/>
        <w:rPr>
          <w:rFonts w:ascii="Arial Narrow" w:hAnsi="Arial Narrow"/>
          <w:color w:val="000000" w:themeColor="text1"/>
          <w:sz w:val="22"/>
          <w:szCs w:val="22"/>
        </w:rPr>
      </w:pPr>
      <w:r w:rsidRPr="00CB3EE4">
        <w:rPr>
          <w:rFonts w:ascii="Arial Narrow" w:hAnsi="Arial Narrow"/>
          <w:color w:val="000000" w:themeColor="text1"/>
          <w:sz w:val="22"/>
          <w:szCs w:val="22"/>
        </w:rPr>
        <w:tab/>
      </w:r>
      <w:r w:rsidRPr="00CB3EE4">
        <w:rPr>
          <w:rFonts w:ascii="Arial Narrow" w:hAnsi="Arial Narrow"/>
          <w:color w:val="000000" w:themeColor="text1"/>
          <w:sz w:val="22"/>
          <w:szCs w:val="22"/>
        </w:rPr>
        <w:tab/>
      </w:r>
    </w:p>
    <w:p w14:paraId="23B21BD6"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37"/>
      <w:r w:rsidRPr="00CB3EE4">
        <w:rPr>
          <w:rFonts w:ascii="Arial Narrow" w:hAnsi="Arial Narrow"/>
          <w:color w:val="000000" w:themeColor="text1"/>
          <w:sz w:val="22"/>
          <w:szCs w:val="22"/>
        </w:rPr>
        <w:t xml:space="preserve">Predávajúci sa zaväzuje dodať predmet zmluvy v súlade s dohodnutými technickými a funkčnými charakteristikami, všeobecne záväznými právnymi predpismi platnými na území </w:t>
      </w:r>
      <w:r w:rsidRPr="00CB3EE4">
        <w:rPr>
          <w:rFonts w:ascii="Arial Narrow" w:hAnsi="Arial Narrow"/>
          <w:sz w:val="22"/>
          <w:szCs w:val="22"/>
        </w:rPr>
        <w:t>SR, technickými normami a podmienkami tejto zmluvy. Predávajúci sa zaväzuje súčasne s odovzdaním predmetu zmluvy odovzdať kupujúcemu aj</w:t>
      </w:r>
      <w:bookmarkEnd w:id="2"/>
      <w:r w:rsidRPr="00CB3EE4">
        <w:rPr>
          <w:rFonts w:ascii="Arial Narrow" w:hAnsi="Arial Narrow"/>
          <w:sz w:val="22"/>
          <w:szCs w:val="22"/>
        </w:rPr>
        <w:t xml:space="preserve"> </w:t>
      </w:r>
    </w:p>
    <w:p w14:paraId="02E2B5A4"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platné osvedčenie o evidencii preukazujúce schválenie vozidla pre premávku na pozemných </w:t>
      </w:r>
    </w:p>
    <w:p w14:paraId="4E5F0056"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D9CC015"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návod na obsluhu a údržbu vozidla, vrátane dodávanej výbavy a príslušenstva v slovenskom  jazyku,</w:t>
      </w:r>
    </w:p>
    <w:p w14:paraId="7181B221"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servisnú knižku v slovenskom jazyku,</w:t>
      </w:r>
    </w:p>
    <w:p w14:paraId="179B874A" w14:textId="207FDDC8"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certifikát/y o homologizácii </w:t>
      </w:r>
      <w:r>
        <w:rPr>
          <w:rFonts w:ascii="Arial Narrow" w:hAnsi="Arial Narrow"/>
          <w:sz w:val="22"/>
          <w:szCs w:val="22"/>
        </w:rPr>
        <w:t>v zmysle požiadaviek na zostavu</w:t>
      </w:r>
      <w:r w:rsidRPr="00CB3EE4">
        <w:rPr>
          <w:rFonts w:ascii="Arial Narrow" w:hAnsi="Arial Narrow"/>
          <w:sz w:val="22"/>
          <w:szCs w:val="22"/>
        </w:rPr>
        <w:t xml:space="preserve"> „Svetelné a zvukové výstražné zariadenie pre skrytú montáž“,</w:t>
      </w:r>
    </w:p>
    <w:p w14:paraId="44A1D98E" w14:textId="11330322"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montážny predpis zostavy „Svetelné a zvukové výstražné zariadenie pre skrytú montáž“ (celej zostavy podľa jednotlivých komponentov) </w:t>
      </w:r>
      <w:r>
        <w:rPr>
          <w:rFonts w:ascii="Arial Narrow" w:hAnsi="Arial Narrow"/>
          <w:sz w:val="22"/>
          <w:szCs w:val="22"/>
          <w:lang w:val="sk-SK"/>
        </w:rPr>
        <w:t>do</w:t>
      </w:r>
      <w:r w:rsidRPr="00CB3EE4">
        <w:rPr>
          <w:rFonts w:ascii="Arial Narrow" w:hAnsi="Arial Narrow"/>
          <w:sz w:val="22"/>
          <w:szCs w:val="22"/>
        </w:rPr>
        <w:t xml:space="preserve"> vozidla</w:t>
      </w:r>
      <w:r w:rsidRPr="00CB3EE4">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669E0D21"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bookmarkEnd w:id="3"/>
      <w:r w:rsidR="006F40CE" w:rsidRPr="006F40CE">
        <w:rPr>
          <w:rFonts w:ascii="Arial Narrow" w:hAnsi="Arial Narrow"/>
          <w:b/>
          <w:sz w:val="22"/>
          <w:szCs w:val="22"/>
          <w:lang w:val="sk-SK"/>
        </w:rPr>
        <w:t>21.02.2025</w:t>
      </w:r>
      <w:r w:rsidR="006F40CE">
        <w:rPr>
          <w:rFonts w:ascii="Arial Narrow" w:hAnsi="Arial Narrow"/>
          <w:b/>
          <w:sz w:val="22"/>
          <w:szCs w:val="22"/>
          <w:lang w:val="sk-SK"/>
        </w:rPr>
        <w:t>.</w:t>
      </w:r>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096860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Miestom dodania je</w:t>
      </w:r>
      <w:r w:rsidR="007F1229">
        <w:rPr>
          <w:rFonts w:ascii="Arial Narrow" w:hAnsi="Arial Narrow"/>
          <w:sz w:val="22"/>
          <w:szCs w:val="22"/>
          <w:lang w:val="sk-SK"/>
        </w:rPr>
        <w:t xml:space="preserve"> Operačné stredisko záchrannej zdravotnej služby SR, Trnavská cesta 8/A, </w:t>
      </w:r>
      <w:r w:rsidRPr="00C677FE">
        <w:rPr>
          <w:rFonts w:ascii="Arial Narrow" w:hAnsi="Arial Narrow"/>
          <w:sz w:val="22"/>
          <w:szCs w:val="22"/>
        </w:rPr>
        <w:t xml:space="preserv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3AC1C66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7F1229">
        <w:rPr>
          <w:rFonts w:ascii="Arial Narrow" w:hAnsi="Arial Narrow"/>
          <w:sz w:val="22"/>
          <w:szCs w:val="22"/>
          <w:lang w:val="sk-SK"/>
        </w:rPr>
        <w:t>tri</w:t>
      </w:r>
      <w:r w:rsidR="00DE521C" w:rsidRPr="00C677FE">
        <w:rPr>
          <w:rFonts w:ascii="Arial Narrow" w:hAnsi="Arial Narrow"/>
          <w:sz w:val="22"/>
          <w:szCs w:val="22"/>
        </w:rPr>
        <w:t xml:space="preserve"> </w:t>
      </w:r>
      <w:r w:rsidR="004738F4" w:rsidRPr="00C677FE">
        <w:rPr>
          <w:rFonts w:ascii="Arial Narrow" w:hAnsi="Arial Narrow"/>
          <w:sz w:val="22"/>
          <w:szCs w:val="22"/>
        </w:rPr>
        <w:t>(</w:t>
      </w:r>
      <w:r w:rsidR="007F1229">
        <w:rPr>
          <w:rFonts w:ascii="Arial Narrow" w:hAnsi="Arial Narrow"/>
          <w:sz w:val="22"/>
          <w:szCs w:val="22"/>
        </w:rPr>
        <w:t>3</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6F40C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6F40CE">
        <w:rPr>
          <w:rFonts w:ascii="Arial Narrow" w:hAnsi="Arial Narrow"/>
          <w:highlight w:val="yell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5993B18D"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6F118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EA56281" w14:textId="7E7C76AD" w:rsidR="007F1229" w:rsidRDefault="00BB427D"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6F118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6F118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3B82D856" w14:textId="77777777" w:rsidR="007F1229" w:rsidRPr="007F1229" w:rsidRDefault="007F1229" w:rsidP="007F1229">
      <w:pPr>
        <w:pStyle w:val="Odsekzoznamu"/>
        <w:rPr>
          <w:rFonts w:ascii="Arial Narrow" w:hAnsi="Arial Narrow"/>
          <w:sz w:val="22"/>
          <w:szCs w:val="22"/>
        </w:rPr>
      </w:pPr>
    </w:p>
    <w:p w14:paraId="0D04C031" w14:textId="56DC1A8D" w:rsidR="007F1229" w:rsidRPr="007F1229" w:rsidRDefault="00CA45F8"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musí byť autorizovaný predajca vozidiel, o čom doloží doklad do 5 pracovných dní od uzavretia zmluvy e-mailom (a zároveň do 7 pracovných dní poštou alebo inou doručovacou službou</w:t>
      </w:r>
      <w:r w:rsidR="007F1229">
        <w:rPr>
          <w:rFonts w:ascii="Arial Narrow" w:hAnsi="Arial Narrow"/>
          <w:sz w:val="22"/>
          <w:szCs w:val="22"/>
          <w:lang w:val="sk-SK"/>
        </w:rPr>
        <w:t>.</w:t>
      </w:r>
    </w:p>
    <w:p w14:paraId="10C37678" w14:textId="77777777" w:rsidR="007F1229" w:rsidRPr="007F1229" w:rsidRDefault="007F1229" w:rsidP="007F1229">
      <w:pPr>
        <w:pStyle w:val="Odsekzoznamu"/>
        <w:rPr>
          <w:rFonts w:ascii="Arial Narrow" w:hAnsi="Arial Narrow"/>
          <w:sz w:val="22"/>
          <w:szCs w:val="22"/>
        </w:rPr>
      </w:pPr>
    </w:p>
    <w:p w14:paraId="18AD07E1" w14:textId="77777777" w:rsid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dodá osobné motorové vozidlá v súlade s technickou a funkčnou špecifikáciou a s požadovaným vybavením uvedeným v zmluve. Súčasťou dodania bude aj dodanie: dvoch kľúčov s diaľkovým ovládaním; osvedčenia o evidencii, časť II./technický preukaz;</w:t>
      </w:r>
    </w:p>
    <w:p w14:paraId="4243589E" w14:textId="77777777" w:rsidR="00CA45F8" w:rsidRPr="00CA45F8" w:rsidRDefault="00CA45F8" w:rsidP="00CA45F8">
      <w:pPr>
        <w:pStyle w:val="Odsekzoznamu"/>
        <w:rPr>
          <w:rFonts w:ascii="Arial Narrow" w:hAnsi="Arial Narrow"/>
          <w:sz w:val="22"/>
          <w:szCs w:val="22"/>
          <w:lang w:val="sk-SK"/>
        </w:rPr>
      </w:pPr>
    </w:p>
    <w:p w14:paraId="12C93A2F" w14:textId="77777777" w:rsidR="00CA45F8" w:rsidRP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Predávajúci je povinný dodať osobné motorové vozidlá v súlade s požiadavkami podľa tejto zmluvy bez vád, poškodenia alebo iného opotrebovania ako motorové vozidlo nové, nejazdené treťou osobou ani dodávateľom ako predvádzacie alebo služobné vozidlo.</w:t>
      </w:r>
      <w:r>
        <w:rPr>
          <w:rFonts w:ascii="Arial Narrow" w:hAnsi="Arial Narrow"/>
          <w:sz w:val="22"/>
          <w:szCs w:val="22"/>
          <w:lang w:val="sk-SK"/>
        </w:rPr>
        <w:t xml:space="preserve"> </w:t>
      </w:r>
    </w:p>
    <w:p w14:paraId="383C15F1" w14:textId="77777777" w:rsidR="00CA45F8" w:rsidRPr="00CA45F8" w:rsidRDefault="00CA45F8" w:rsidP="00CA45F8">
      <w:pPr>
        <w:pStyle w:val="Odsekzoznamu"/>
        <w:rPr>
          <w:rFonts w:ascii="Arial Narrow" w:hAnsi="Arial Narrow"/>
          <w:sz w:val="22"/>
          <w:szCs w:val="22"/>
          <w:lang w:val="sk-SK"/>
        </w:rPr>
      </w:pPr>
    </w:p>
    <w:p w14:paraId="71B117B2" w14:textId="69C59C1D" w:rsidR="00CA45F8" w:rsidRPr="007234A5"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Kupujúci požaduje, aby predmet zákazky spĺňal aj ďalšie, v tomto opise predmetu zákazky nemenované podmienky, vyplývajúce zo záväzných a platných a právnych noriem Slovenskej republiky a Európskej únie, vzťahujúce sa na predmet zákazky, ak sú podľa právnej úpravy požadované.</w:t>
      </w:r>
    </w:p>
    <w:p w14:paraId="515D4A02" w14:textId="77777777" w:rsidR="007234A5" w:rsidRPr="007234A5" w:rsidRDefault="007234A5" w:rsidP="007234A5">
      <w:pPr>
        <w:pStyle w:val="Odsekzoznamu"/>
        <w:rPr>
          <w:rFonts w:ascii="Arial Narrow" w:hAnsi="Arial Narrow"/>
          <w:sz w:val="22"/>
          <w:szCs w:val="22"/>
        </w:rPr>
      </w:pPr>
    </w:p>
    <w:p w14:paraId="5D02F1A1" w14:textId="08430C61" w:rsidR="007234A5" w:rsidRPr="00CA45F8" w:rsidRDefault="007234A5"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garantuje</w:t>
      </w:r>
      <w:r w:rsidR="007818F1">
        <w:rPr>
          <w:rFonts w:ascii="Arial Narrow" w:hAnsi="Arial Narrow"/>
          <w:sz w:val="22"/>
          <w:szCs w:val="22"/>
          <w:lang w:val="sk-SK"/>
        </w:rPr>
        <w:t>.</w:t>
      </w:r>
      <w:r>
        <w:rPr>
          <w:rFonts w:ascii="Arial Narrow" w:hAnsi="Arial Narrow"/>
          <w:sz w:val="22"/>
          <w:szCs w:val="22"/>
          <w:lang w:val="sk-SK"/>
        </w:rPr>
        <w:t xml:space="preserve"> že je oprávnený poskytovať aj záručný a pozáručný servis</w:t>
      </w:r>
      <w:r w:rsidR="007818F1">
        <w:rPr>
          <w:rFonts w:ascii="Arial Narrow" w:hAnsi="Arial Narrow"/>
          <w:sz w:val="22"/>
          <w:szCs w:val="22"/>
          <w:lang w:val="sk-SK"/>
        </w:rPr>
        <w:t>.</w:t>
      </w:r>
    </w:p>
    <w:p w14:paraId="772DD54E" w14:textId="77777777" w:rsidR="00CA45F8" w:rsidRPr="00CA45F8" w:rsidRDefault="00CA45F8" w:rsidP="00CA45F8">
      <w:pPr>
        <w:pStyle w:val="Odsekzoznamu"/>
        <w:rPr>
          <w:rFonts w:ascii="Arial Narrow" w:hAnsi="Arial Narrow"/>
          <w:sz w:val="22"/>
          <w:szCs w:val="22"/>
        </w:rPr>
      </w:pPr>
    </w:p>
    <w:p w14:paraId="59A8C573" w14:textId="77777777" w:rsidR="00CA45F8" w:rsidRPr="00CA45F8" w:rsidRDefault="00CA45F8" w:rsidP="00CA45F8">
      <w:pPr>
        <w:pStyle w:val="Odsekzoznamu"/>
        <w:tabs>
          <w:tab w:val="clear" w:pos="2160"/>
          <w:tab w:val="clear" w:pos="2880"/>
          <w:tab w:val="clear" w:pos="4500"/>
        </w:tabs>
        <w:ind w:left="567"/>
        <w:jc w:val="both"/>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3CDC154C" w:rsidR="00FC2417" w:rsidRPr="00C677FE" w:rsidRDefault="00CA45F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CA45F8">
        <w:rPr>
          <w:rFonts w:ascii="Arial Narrow" w:hAnsi="Arial Narrow"/>
          <w:sz w:val="22"/>
          <w:szCs w:val="22"/>
          <w:lang w:val="sk-SK"/>
        </w:rPr>
        <w:t xml:space="preserve"> je oprávnený vystaviť faktúru po riadnom prevzatí osobného motorového vozidla, ktoré spĺňa technické parametre a požiadavky na jeho technické vybavenie v zmysle zmluvy</w:t>
      </w:r>
      <w:r w:rsidRPr="00C677FE">
        <w:rPr>
          <w:rFonts w:ascii="Arial Narrow" w:hAnsi="Arial Narrow"/>
          <w:sz w:val="22"/>
          <w:szCs w:val="22"/>
        </w:rPr>
        <w:t xml:space="preserve"> </w:t>
      </w:r>
      <w:r w:rsidR="00FC2417" w:rsidRPr="00C677FE">
        <w:rPr>
          <w:rFonts w:ascii="Arial Narrow" w:hAnsi="Arial Narrow"/>
          <w:sz w:val="22"/>
          <w:szCs w:val="22"/>
        </w:rPr>
        <w:t>Neoddeliteľnou súčasťou faktúr</w:t>
      </w:r>
      <w:r w:rsidR="0077096A" w:rsidRPr="00C677FE">
        <w:rPr>
          <w:rFonts w:ascii="Arial Narrow" w:hAnsi="Arial Narrow"/>
          <w:sz w:val="22"/>
          <w:szCs w:val="22"/>
        </w:rPr>
        <w:t>y</w:t>
      </w:r>
      <w:r w:rsidR="00FC2417"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00FC2417"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E96EC2A" w14:textId="77777777" w:rsidR="00CA45F8" w:rsidRDefault="00FC2417"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5FE81AA7" w14:textId="77777777" w:rsidR="00CA45F8" w:rsidRPr="00CA45F8" w:rsidRDefault="00CA45F8" w:rsidP="00CA45F8">
      <w:pPr>
        <w:pStyle w:val="Odsekzoznamu"/>
        <w:rPr>
          <w:rFonts w:ascii="Arial Narrow" w:hAnsi="Arial Narrow"/>
          <w:sz w:val="22"/>
          <w:szCs w:val="22"/>
          <w:lang w:val="sk-SK"/>
        </w:rPr>
      </w:pP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7B712C7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54EA90CB"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7719E6">
        <w:rPr>
          <w:rFonts w:ascii="Arial Narrow" w:hAnsi="Arial Narrow"/>
          <w:sz w:val="22"/>
          <w:szCs w:val="22"/>
          <w:lang w:val="sk-SK"/>
        </w:rPr>
        <w:t>4.5</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4.</w:t>
      </w:r>
      <w:r w:rsidR="006F118A" w:rsidRPr="006F118A">
        <w:rPr>
          <w:rFonts w:ascii="Arial Narrow" w:hAnsi="Arial Narrow"/>
          <w:sz w:val="22"/>
          <w:szCs w:val="22"/>
          <w:lang w:val="sk-SK"/>
        </w:rPr>
        <w:t>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w:t>
      </w:r>
      <w:r w:rsidR="007719E6">
        <w:rPr>
          <w:rFonts w:ascii="Arial Narrow" w:hAnsi="Arial Narrow"/>
          <w:sz w:val="22"/>
          <w:szCs w:val="22"/>
          <w:lang w:val="sk-SK"/>
        </w:rPr>
        <w:t xml:space="preserve">a 4.3 </w:t>
      </w:r>
      <w:r w:rsidR="003C70DB" w:rsidRPr="00C677FE">
        <w:rPr>
          <w:rFonts w:ascii="Arial Narrow" w:hAnsi="Arial Narrow"/>
          <w:sz w:val="22"/>
          <w:szCs w:val="22"/>
        </w:rPr>
        <w:t>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3096F604"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6F118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7CE2611F"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6F118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6F118A">
        <w:rPr>
          <w:rFonts w:ascii="Arial Narrow" w:hAnsi="Arial Narrow"/>
          <w:sz w:val="22"/>
          <w:szCs w:val="22"/>
        </w:rPr>
        <w:t>4.21</w:t>
      </w:r>
      <w:r w:rsidR="00E5485B" w:rsidRPr="00C677FE">
        <w:rPr>
          <w:rFonts w:ascii="Arial Narrow" w:hAnsi="Arial Narrow"/>
          <w:sz w:val="22"/>
          <w:szCs w:val="22"/>
        </w:rPr>
        <w:fldChar w:fldCharType="end"/>
      </w:r>
      <w:r w:rsidR="003575E7">
        <w:rPr>
          <w:rFonts w:ascii="Arial Narrow" w:hAnsi="Arial Narrow"/>
          <w:sz w:val="22"/>
          <w:szCs w:val="22"/>
          <w:lang w:val="sk-SK"/>
        </w:rPr>
        <w:t>5</w:t>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25A4" w14:textId="77777777" w:rsidR="0014605B" w:rsidRDefault="0014605B" w:rsidP="006E6235">
      <w:r>
        <w:separator/>
      </w:r>
    </w:p>
  </w:endnote>
  <w:endnote w:type="continuationSeparator" w:id="0">
    <w:p w14:paraId="441D1AED" w14:textId="77777777" w:rsidR="0014605B" w:rsidRDefault="0014605B"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70F0B0E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6F118A">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72312" w14:textId="77777777" w:rsidR="0014605B" w:rsidRDefault="0014605B" w:rsidP="006E6235">
      <w:r>
        <w:separator/>
      </w:r>
    </w:p>
  </w:footnote>
  <w:footnote w:type="continuationSeparator" w:id="0">
    <w:p w14:paraId="7CF2529C" w14:textId="77777777" w:rsidR="0014605B" w:rsidRDefault="0014605B"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4605B"/>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1FAE"/>
    <w:rsid w:val="003245F8"/>
    <w:rsid w:val="00324D3B"/>
    <w:rsid w:val="003316DA"/>
    <w:rsid w:val="00333F00"/>
    <w:rsid w:val="0034246B"/>
    <w:rsid w:val="003453C3"/>
    <w:rsid w:val="00345934"/>
    <w:rsid w:val="00351976"/>
    <w:rsid w:val="003570AD"/>
    <w:rsid w:val="003575E7"/>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18A"/>
    <w:rsid w:val="006F1FFE"/>
    <w:rsid w:val="006F40CE"/>
    <w:rsid w:val="006F7BEE"/>
    <w:rsid w:val="00700763"/>
    <w:rsid w:val="00701D18"/>
    <w:rsid w:val="00704F9D"/>
    <w:rsid w:val="00706452"/>
    <w:rsid w:val="00707F2F"/>
    <w:rsid w:val="00710907"/>
    <w:rsid w:val="00717E25"/>
    <w:rsid w:val="0072185A"/>
    <w:rsid w:val="007234A5"/>
    <w:rsid w:val="007301F2"/>
    <w:rsid w:val="00731AA5"/>
    <w:rsid w:val="00732844"/>
    <w:rsid w:val="00734EA2"/>
    <w:rsid w:val="00737FAA"/>
    <w:rsid w:val="00741F98"/>
    <w:rsid w:val="0074328F"/>
    <w:rsid w:val="00757237"/>
    <w:rsid w:val="007625FF"/>
    <w:rsid w:val="00764378"/>
    <w:rsid w:val="0077096A"/>
    <w:rsid w:val="007719E6"/>
    <w:rsid w:val="007777C0"/>
    <w:rsid w:val="007818F1"/>
    <w:rsid w:val="00782C80"/>
    <w:rsid w:val="0078620C"/>
    <w:rsid w:val="007902C3"/>
    <w:rsid w:val="007A7764"/>
    <w:rsid w:val="007A78C0"/>
    <w:rsid w:val="007B256C"/>
    <w:rsid w:val="007B393B"/>
    <w:rsid w:val="007B453C"/>
    <w:rsid w:val="007B5CE9"/>
    <w:rsid w:val="007C7F2F"/>
    <w:rsid w:val="007D1958"/>
    <w:rsid w:val="007D7206"/>
    <w:rsid w:val="007E2863"/>
    <w:rsid w:val="007F1229"/>
    <w:rsid w:val="007F32BF"/>
    <w:rsid w:val="007F3C88"/>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26B68"/>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A45FD"/>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A45F8"/>
    <w:rsid w:val="00CB20E1"/>
    <w:rsid w:val="00CB3EE4"/>
    <w:rsid w:val="00CD4DAA"/>
    <w:rsid w:val="00CD6323"/>
    <w:rsid w:val="00CE13E9"/>
    <w:rsid w:val="00CE72F3"/>
    <w:rsid w:val="00CF01CF"/>
    <w:rsid w:val="00CF3161"/>
    <w:rsid w:val="00CF31F2"/>
    <w:rsid w:val="00D03C15"/>
    <w:rsid w:val="00D105EB"/>
    <w:rsid w:val="00D30A5E"/>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54639-C8F0-47A9-9982-562982E9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3427</Words>
  <Characters>19534</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176</cp:revision>
  <cp:lastPrinted>2024-11-11T09:45:00Z</cp:lastPrinted>
  <dcterms:created xsi:type="dcterms:W3CDTF">2020-10-26T09:25:00Z</dcterms:created>
  <dcterms:modified xsi:type="dcterms:W3CDTF">2024-11-11T09:47:00Z</dcterms:modified>
</cp:coreProperties>
</file>