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D5F2" w14:textId="0B28E166" w:rsidR="00F957A8" w:rsidRPr="00310D9D" w:rsidRDefault="00F957A8" w:rsidP="00F957A8">
      <w:pPr>
        <w:pStyle w:val="Nadpis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10D9D">
        <w:rPr>
          <w:rFonts w:asciiTheme="minorHAnsi" w:hAnsiTheme="minorHAnsi" w:cstheme="minorHAnsi"/>
          <w:b/>
          <w:color w:val="auto"/>
          <w:sz w:val="28"/>
          <w:szCs w:val="28"/>
        </w:rPr>
        <w:t>Příloha č. 1</w:t>
      </w:r>
    </w:p>
    <w:p w14:paraId="02558BBF" w14:textId="4EDF88AF" w:rsidR="00F957A8" w:rsidRPr="00310D9D" w:rsidRDefault="00F957A8" w:rsidP="004C6901">
      <w:pPr>
        <w:pStyle w:val="Nadpis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10D9D">
        <w:rPr>
          <w:rFonts w:asciiTheme="minorHAnsi" w:hAnsiTheme="minorHAnsi" w:cstheme="minorHAnsi"/>
          <w:b/>
          <w:color w:val="auto"/>
          <w:sz w:val="28"/>
          <w:szCs w:val="28"/>
        </w:rPr>
        <w:t>Technická specifikace</w:t>
      </w:r>
    </w:p>
    <w:p w14:paraId="44AEFC22" w14:textId="68DC3E4F" w:rsidR="004C6901" w:rsidRPr="00310D9D" w:rsidRDefault="00F957A8" w:rsidP="004C6901">
      <w:pPr>
        <w:pStyle w:val="Nadpis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10D9D">
        <w:rPr>
          <w:rFonts w:asciiTheme="minorHAnsi" w:hAnsiTheme="minorHAnsi" w:cstheme="minorHAnsi"/>
          <w:b/>
          <w:color w:val="auto"/>
          <w:sz w:val="28"/>
          <w:szCs w:val="28"/>
        </w:rPr>
        <w:t>„</w:t>
      </w:r>
      <w:r w:rsidR="004C6901" w:rsidRPr="00310D9D">
        <w:rPr>
          <w:rFonts w:asciiTheme="minorHAnsi" w:hAnsiTheme="minorHAnsi" w:cstheme="minorHAnsi"/>
          <w:b/>
          <w:color w:val="auto"/>
          <w:sz w:val="28"/>
          <w:szCs w:val="28"/>
        </w:rPr>
        <w:t>Zajištění služby dohledového centra</w:t>
      </w:r>
      <w:r w:rsidRPr="00310D9D">
        <w:rPr>
          <w:rFonts w:asciiTheme="minorHAnsi" w:hAnsiTheme="minorHAnsi" w:cstheme="minorHAnsi"/>
          <w:b/>
          <w:color w:val="auto"/>
          <w:sz w:val="28"/>
          <w:szCs w:val="28"/>
        </w:rPr>
        <w:t>“</w:t>
      </w:r>
    </w:p>
    <w:p w14:paraId="22E7FC8D" w14:textId="0AED1799" w:rsidR="004C6901" w:rsidRPr="00310D9D" w:rsidRDefault="004C6901" w:rsidP="004C690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310D9D">
        <w:rPr>
          <w:rFonts w:asciiTheme="minorHAnsi" w:hAnsiTheme="minorHAnsi" w:cstheme="minorHAnsi"/>
          <w:sz w:val="24"/>
          <w:szCs w:val="24"/>
        </w:rPr>
        <w:t>Předmět zakázky</w:t>
      </w:r>
    </w:p>
    <w:p w14:paraId="0D8E7652" w14:textId="0C18613F" w:rsidR="004C6901" w:rsidRPr="00310D9D" w:rsidRDefault="004C6901" w:rsidP="004C6901">
      <w:pPr>
        <w:rPr>
          <w:rFonts w:asciiTheme="minorHAnsi" w:hAnsiTheme="minorHAnsi" w:cstheme="minorHAnsi"/>
          <w:bCs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 xml:space="preserve">Předmětem zakázky je </w:t>
      </w:r>
      <w:r w:rsidRPr="00310D9D">
        <w:rPr>
          <w:rFonts w:asciiTheme="minorHAnsi" w:hAnsiTheme="minorHAnsi" w:cstheme="minorHAnsi"/>
          <w:bCs/>
          <w:sz w:val="22"/>
          <w:szCs w:val="22"/>
        </w:rPr>
        <w:t xml:space="preserve">komplexní zajištění služeb </w:t>
      </w:r>
      <w:r w:rsidR="00F92ACA" w:rsidRPr="00310D9D">
        <w:rPr>
          <w:rFonts w:asciiTheme="minorHAnsi" w:hAnsiTheme="minorHAnsi" w:cstheme="minorHAnsi"/>
          <w:bCs/>
          <w:sz w:val="22"/>
          <w:szCs w:val="22"/>
        </w:rPr>
        <w:t>dohledového centra kybernetické bezpečnosti (</w:t>
      </w:r>
      <w:r w:rsidR="00245294" w:rsidRPr="00310D9D">
        <w:rPr>
          <w:rFonts w:asciiTheme="minorHAnsi" w:hAnsiTheme="minorHAnsi" w:cstheme="minorHAnsi"/>
          <w:bCs/>
          <w:sz w:val="22"/>
          <w:szCs w:val="22"/>
        </w:rPr>
        <w:t>SOC – Security</w:t>
      </w:r>
      <w:r w:rsidR="00C475CD" w:rsidRPr="00310D9D">
        <w:rPr>
          <w:rFonts w:asciiTheme="minorHAnsi" w:hAnsiTheme="minorHAnsi" w:cstheme="minorHAnsi"/>
          <w:bCs/>
          <w:sz w:val="22"/>
          <w:szCs w:val="22"/>
        </w:rPr>
        <w:t xml:space="preserve"> Operation Centr</w:t>
      </w:r>
      <w:r w:rsidR="00376582" w:rsidRPr="00310D9D">
        <w:rPr>
          <w:rFonts w:asciiTheme="minorHAnsi" w:hAnsiTheme="minorHAnsi" w:cstheme="minorHAnsi"/>
          <w:bCs/>
          <w:sz w:val="22"/>
          <w:szCs w:val="22"/>
        </w:rPr>
        <w:t>um</w:t>
      </w:r>
      <w:r w:rsidR="00F92ACA" w:rsidRPr="00310D9D">
        <w:rPr>
          <w:rFonts w:asciiTheme="minorHAnsi" w:hAnsiTheme="minorHAnsi" w:cstheme="minorHAnsi"/>
          <w:bCs/>
          <w:sz w:val="22"/>
          <w:szCs w:val="22"/>
        </w:rPr>
        <w:t xml:space="preserve">) k zajištění </w:t>
      </w:r>
      <w:r w:rsidRPr="00310D9D">
        <w:rPr>
          <w:rFonts w:asciiTheme="minorHAnsi" w:hAnsiTheme="minorHAnsi" w:cstheme="minorHAnsi"/>
          <w:bCs/>
          <w:sz w:val="22"/>
          <w:szCs w:val="22"/>
        </w:rPr>
        <w:t xml:space="preserve">dohledu a provozu nástrojů pro vyhodnocování kybernetických bezpečnostních událostí </w:t>
      </w:r>
      <w:r w:rsidR="00F92ACA" w:rsidRPr="00310D9D">
        <w:rPr>
          <w:rFonts w:asciiTheme="minorHAnsi" w:hAnsiTheme="minorHAnsi" w:cstheme="minorHAnsi"/>
          <w:bCs/>
          <w:sz w:val="22"/>
          <w:szCs w:val="22"/>
        </w:rPr>
        <w:t xml:space="preserve">ve výpočetních systémech a </w:t>
      </w:r>
      <w:r w:rsidRPr="00310D9D">
        <w:rPr>
          <w:rFonts w:asciiTheme="minorHAnsi" w:hAnsiTheme="minorHAnsi" w:cstheme="minorHAnsi"/>
          <w:bCs/>
          <w:sz w:val="22"/>
          <w:szCs w:val="22"/>
        </w:rPr>
        <w:t xml:space="preserve">v komunikačních sítích, které </w:t>
      </w:r>
      <w:r w:rsidR="00F957A8" w:rsidRPr="00310D9D">
        <w:rPr>
          <w:rFonts w:asciiTheme="minorHAnsi" w:hAnsiTheme="minorHAnsi" w:cstheme="minorHAnsi"/>
          <w:bCs/>
          <w:sz w:val="22"/>
          <w:szCs w:val="22"/>
        </w:rPr>
        <w:t>z</w:t>
      </w:r>
      <w:r w:rsidRPr="00310D9D">
        <w:rPr>
          <w:rFonts w:asciiTheme="minorHAnsi" w:hAnsiTheme="minorHAnsi" w:cstheme="minorHAnsi"/>
          <w:bCs/>
          <w:sz w:val="22"/>
          <w:szCs w:val="22"/>
        </w:rPr>
        <w:t>adavatel využívá nebo provozuje</w:t>
      </w:r>
      <w:r w:rsidRPr="00310D9D">
        <w:rPr>
          <w:rFonts w:asciiTheme="minorHAnsi" w:hAnsiTheme="minorHAnsi" w:cstheme="minorHAnsi"/>
          <w:sz w:val="22"/>
          <w:szCs w:val="22"/>
        </w:rPr>
        <w:t>.</w:t>
      </w:r>
    </w:p>
    <w:p w14:paraId="2B8C4FA7" w14:textId="1C626E76" w:rsidR="004C6901" w:rsidRPr="00310D9D" w:rsidRDefault="004C6901" w:rsidP="004C6901">
      <w:p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 xml:space="preserve">V následujících podkapitolách uvádíme soubor všech požadavků na předmětné služby. Tyto požadavky představují kompletní a současně minimální úroveň, kterou musí </w:t>
      </w:r>
      <w:r w:rsidR="0058138C" w:rsidRPr="00310D9D">
        <w:rPr>
          <w:rFonts w:asciiTheme="minorHAnsi" w:hAnsiTheme="minorHAnsi" w:cstheme="minorHAnsi"/>
          <w:sz w:val="22"/>
          <w:szCs w:val="22"/>
        </w:rPr>
        <w:t>poskytovatelé služby</w:t>
      </w:r>
      <w:r w:rsidR="00F957A8" w:rsidRPr="00310D9D">
        <w:rPr>
          <w:rFonts w:asciiTheme="minorHAnsi" w:hAnsiTheme="minorHAnsi" w:cstheme="minorHAnsi"/>
          <w:sz w:val="22"/>
          <w:szCs w:val="22"/>
        </w:rPr>
        <w:t xml:space="preserve"> </w:t>
      </w:r>
      <w:r w:rsidRPr="00310D9D">
        <w:rPr>
          <w:rFonts w:asciiTheme="minorHAnsi" w:hAnsiTheme="minorHAnsi" w:cstheme="minorHAnsi"/>
          <w:sz w:val="22"/>
          <w:szCs w:val="22"/>
        </w:rPr>
        <w:t xml:space="preserve">splnit. </w:t>
      </w:r>
    </w:p>
    <w:p w14:paraId="4F5474F8" w14:textId="20F2EFD8" w:rsidR="007D51DD" w:rsidRPr="00310D9D" w:rsidRDefault="007D51DD" w:rsidP="004C690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310D9D">
        <w:rPr>
          <w:rFonts w:asciiTheme="minorHAnsi" w:hAnsiTheme="minorHAnsi" w:cstheme="minorHAnsi"/>
          <w:sz w:val="24"/>
          <w:szCs w:val="24"/>
        </w:rPr>
        <w:t>Předpokládaný harmonogram</w:t>
      </w:r>
    </w:p>
    <w:p w14:paraId="76181D84" w14:textId="069C5190" w:rsidR="007D51DD" w:rsidRPr="00310D9D" w:rsidRDefault="007D51DD" w:rsidP="004C6901">
      <w:p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>Zadavatel požaduje</w:t>
      </w:r>
      <w:r w:rsidR="00F92ACA" w:rsidRPr="00310D9D">
        <w:rPr>
          <w:rFonts w:asciiTheme="minorHAnsi" w:hAnsiTheme="minorHAnsi" w:cstheme="minorHAnsi"/>
          <w:sz w:val="22"/>
          <w:szCs w:val="22"/>
        </w:rPr>
        <w:t xml:space="preserve"> od </w:t>
      </w:r>
      <w:r w:rsidR="0058138C" w:rsidRPr="00310D9D">
        <w:rPr>
          <w:rFonts w:asciiTheme="minorHAnsi" w:hAnsiTheme="minorHAnsi" w:cstheme="minorHAnsi"/>
          <w:sz w:val="22"/>
          <w:szCs w:val="22"/>
        </w:rPr>
        <w:t>poskytovatele služby</w:t>
      </w:r>
      <w:r w:rsidR="005B6F54" w:rsidRPr="00310D9D" w:rsidDel="005B6F54">
        <w:rPr>
          <w:rFonts w:asciiTheme="minorHAnsi" w:hAnsiTheme="minorHAnsi" w:cstheme="minorHAnsi"/>
          <w:sz w:val="22"/>
          <w:szCs w:val="22"/>
        </w:rPr>
        <w:t xml:space="preserve"> </w:t>
      </w:r>
      <w:r w:rsidRPr="00310D9D">
        <w:rPr>
          <w:rFonts w:asciiTheme="minorHAnsi" w:hAnsiTheme="minorHAnsi" w:cstheme="minorHAnsi"/>
          <w:sz w:val="22"/>
          <w:szCs w:val="22"/>
        </w:rPr>
        <w:t>napojení do</w:t>
      </w:r>
      <w:r w:rsidR="00FA5FF3" w:rsidRPr="00310D9D">
        <w:rPr>
          <w:rFonts w:asciiTheme="minorHAnsi" w:hAnsiTheme="minorHAnsi" w:cstheme="minorHAnsi"/>
          <w:sz w:val="22"/>
          <w:szCs w:val="22"/>
        </w:rPr>
        <w:t xml:space="preserve"> služby</w:t>
      </w:r>
      <w:r w:rsidRPr="00310D9D">
        <w:rPr>
          <w:rFonts w:asciiTheme="minorHAnsi" w:hAnsiTheme="minorHAnsi" w:cstheme="minorHAnsi"/>
          <w:sz w:val="22"/>
          <w:szCs w:val="22"/>
        </w:rPr>
        <w:t xml:space="preserve"> </w:t>
      </w:r>
      <w:r w:rsidRPr="00310D9D">
        <w:rPr>
          <w:rFonts w:asciiTheme="minorHAnsi" w:hAnsiTheme="minorHAnsi" w:cstheme="minorHAnsi"/>
          <w:iCs/>
          <w:sz w:val="22"/>
          <w:szCs w:val="22"/>
        </w:rPr>
        <w:t>Security Operation Centra</w:t>
      </w:r>
      <w:r w:rsidRPr="00310D9D">
        <w:rPr>
          <w:rFonts w:asciiTheme="minorHAnsi" w:hAnsiTheme="minorHAnsi" w:cstheme="minorHAnsi"/>
          <w:sz w:val="22"/>
          <w:szCs w:val="22"/>
        </w:rPr>
        <w:t xml:space="preserve"> do </w:t>
      </w:r>
      <w:r w:rsidR="00FA01FB">
        <w:rPr>
          <w:rFonts w:asciiTheme="minorHAnsi" w:hAnsiTheme="minorHAnsi" w:cstheme="minorHAnsi"/>
          <w:sz w:val="22"/>
          <w:szCs w:val="22"/>
        </w:rPr>
        <w:t>5</w:t>
      </w:r>
      <w:r w:rsidR="004268E8">
        <w:rPr>
          <w:rFonts w:asciiTheme="minorHAnsi" w:hAnsiTheme="minorHAnsi" w:cstheme="minorHAnsi"/>
          <w:sz w:val="22"/>
          <w:szCs w:val="22"/>
        </w:rPr>
        <w:t xml:space="preserve"> </w:t>
      </w:r>
      <w:r w:rsidRPr="00310D9D">
        <w:rPr>
          <w:rFonts w:asciiTheme="minorHAnsi" w:hAnsiTheme="minorHAnsi" w:cstheme="minorHAnsi"/>
          <w:sz w:val="22"/>
          <w:szCs w:val="22"/>
        </w:rPr>
        <w:t xml:space="preserve">pracovních dnů od </w:t>
      </w:r>
      <w:r w:rsidR="00245294" w:rsidRPr="00310D9D">
        <w:rPr>
          <w:rFonts w:asciiTheme="minorHAnsi" w:hAnsiTheme="minorHAnsi" w:cstheme="minorHAnsi"/>
          <w:sz w:val="22"/>
          <w:szCs w:val="22"/>
        </w:rPr>
        <w:t xml:space="preserve">účinnosti </w:t>
      </w:r>
      <w:r w:rsidRPr="00310D9D">
        <w:rPr>
          <w:rFonts w:asciiTheme="minorHAnsi" w:hAnsiTheme="minorHAnsi" w:cstheme="minorHAnsi"/>
          <w:sz w:val="22"/>
          <w:szCs w:val="22"/>
        </w:rPr>
        <w:t>smlouvy</w:t>
      </w:r>
      <w:r w:rsidR="00245294" w:rsidRPr="00310D9D">
        <w:rPr>
          <w:rFonts w:asciiTheme="minorHAnsi" w:hAnsiTheme="minorHAnsi" w:cstheme="minorHAnsi"/>
          <w:sz w:val="22"/>
          <w:szCs w:val="22"/>
        </w:rPr>
        <w:t xml:space="preserve"> (den jejího uveřejnění dle zákona č.34/2015 Sb.</w:t>
      </w:r>
      <w:r w:rsidR="00FA5FF3" w:rsidRPr="00310D9D">
        <w:rPr>
          <w:rFonts w:asciiTheme="minorHAnsi" w:hAnsiTheme="minorHAnsi" w:cstheme="minorHAnsi"/>
          <w:sz w:val="22"/>
          <w:szCs w:val="22"/>
        </w:rPr>
        <w:t xml:space="preserve"> </w:t>
      </w:r>
      <w:r w:rsidR="00245294" w:rsidRPr="00310D9D">
        <w:rPr>
          <w:rStyle w:val="h1a6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o zvláštních podmínkách účinnosti některých smluv, uveřejňování těchto smluv a o registru </w:t>
      </w:r>
      <w:r w:rsidR="00245294" w:rsidRPr="00310D9D">
        <w:rPr>
          <w:rStyle w:val="h1a6"/>
          <w:rFonts w:asciiTheme="minorHAnsi" w:hAnsiTheme="minorHAnsi" w:cstheme="minorHAnsi"/>
          <w:i w:val="0"/>
          <w:iCs w:val="0"/>
          <w:sz w:val="22"/>
          <w:szCs w:val="22"/>
        </w:rPr>
        <w:t>smluv</w:t>
      </w:r>
      <w:r w:rsidR="00245294" w:rsidRPr="00310D9D">
        <w:rPr>
          <w:rFonts w:asciiTheme="minorHAnsi" w:hAnsiTheme="minorHAnsi" w:cstheme="minorHAnsi"/>
          <w:sz w:val="22"/>
          <w:szCs w:val="22"/>
        </w:rPr>
        <w:t>)</w:t>
      </w:r>
      <w:r w:rsidR="00245294" w:rsidRPr="00310D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A5FF3" w:rsidRPr="00310D9D">
        <w:rPr>
          <w:rFonts w:asciiTheme="minorHAnsi" w:hAnsiTheme="minorHAnsi" w:cstheme="minorHAnsi"/>
          <w:sz w:val="22"/>
          <w:szCs w:val="22"/>
        </w:rPr>
        <w:t xml:space="preserve">při součinnosti </w:t>
      </w:r>
      <w:r w:rsidR="00A6660E" w:rsidRPr="00310D9D">
        <w:rPr>
          <w:rFonts w:asciiTheme="minorHAnsi" w:hAnsiTheme="minorHAnsi" w:cstheme="minorHAnsi"/>
          <w:sz w:val="22"/>
          <w:szCs w:val="22"/>
        </w:rPr>
        <w:t>z</w:t>
      </w:r>
      <w:r w:rsidR="00FA5FF3" w:rsidRPr="00310D9D">
        <w:rPr>
          <w:rFonts w:asciiTheme="minorHAnsi" w:hAnsiTheme="minorHAnsi" w:cstheme="minorHAnsi"/>
          <w:sz w:val="22"/>
          <w:szCs w:val="22"/>
        </w:rPr>
        <w:t>adavatele</w:t>
      </w:r>
      <w:r w:rsidRPr="00310D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4A2D36" w14:textId="77777777" w:rsidR="007D51DD" w:rsidRPr="00310D9D" w:rsidRDefault="007D51DD" w:rsidP="004C690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310D9D">
        <w:rPr>
          <w:rFonts w:asciiTheme="minorHAnsi" w:hAnsiTheme="minorHAnsi" w:cstheme="minorHAnsi"/>
          <w:sz w:val="24"/>
          <w:szCs w:val="24"/>
        </w:rPr>
        <w:t>Ostatní požadavky Zadavatele na plnění zakázky</w:t>
      </w:r>
    </w:p>
    <w:p w14:paraId="16B5746B" w14:textId="59A55141" w:rsidR="007D51DD" w:rsidRPr="00310D9D" w:rsidRDefault="007D51DD" w:rsidP="004C6901">
      <w:p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 xml:space="preserve">Zadavatel neumožňuje využití subdodavatelů. Všichni účastníci projektu musí být zaměstnanci </w:t>
      </w:r>
      <w:r w:rsidR="0058138C" w:rsidRPr="00310D9D">
        <w:rPr>
          <w:rFonts w:asciiTheme="minorHAnsi" w:hAnsiTheme="minorHAnsi" w:cstheme="minorHAnsi"/>
          <w:sz w:val="22"/>
          <w:szCs w:val="22"/>
        </w:rPr>
        <w:t>poskytovatele služby</w:t>
      </w:r>
      <w:r w:rsidRPr="00310D9D">
        <w:rPr>
          <w:rFonts w:asciiTheme="minorHAnsi" w:hAnsiTheme="minorHAnsi" w:cstheme="minorHAnsi"/>
          <w:sz w:val="22"/>
          <w:szCs w:val="22"/>
        </w:rPr>
        <w:t>.</w:t>
      </w:r>
    </w:p>
    <w:p w14:paraId="7E0A74BC" w14:textId="77777777" w:rsidR="00AB51D6" w:rsidRPr="00310D9D" w:rsidRDefault="00AB51D6" w:rsidP="00AB51D6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310D9D">
        <w:rPr>
          <w:rFonts w:asciiTheme="minorHAnsi" w:hAnsiTheme="minorHAnsi" w:cstheme="minorHAnsi"/>
          <w:sz w:val="24"/>
          <w:szCs w:val="24"/>
        </w:rPr>
        <w:t>Součinnost Zadavatele</w:t>
      </w:r>
    </w:p>
    <w:p w14:paraId="717D33C5" w14:textId="6B312E94" w:rsidR="0027275A" w:rsidRPr="00310D9D" w:rsidRDefault="00AB51D6" w:rsidP="00AB51D6">
      <w:p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 xml:space="preserve">Zadavatel pro účely poskytování služby zpřístupní </w:t>
      </w:r>
      <w:r w:rsidR="0058138C" w:rsidRPr="00310D9D">
        <w:rPr>
          <w:rFonts w:asciiTheme="minorHAnsi" w:hAnsiTheme="minorHAnsi" w:cstheme="minorHAnsi"/>
          <w:sz w:val="22"/>
          <w:szCs w:val="22"/>
        </w:rPr>
        <w:t>poskytovateli služby</w:t>
      </w:r>
      <w:r w:rsidR="00F957A8" w:rsidRPr="00310D9D" w:rsidDel="005B6F54">
        <w:rPr>
          <w:rFonts w:asciiTheme="minorHAnsi" w:hAnsiTheme="minorHAnsi" w:cstheme="minorHAnsi"/>
          <w:sz w:val="22"/>
          <w:szCs w:val="22"/>
        </w:rPr>
        <w:t>:</w:t>
      </w:r>
    </w:p>
    <w:p w14:paraId="722D3B11" w14:textId="4C52681E" w:rsidR="00AB51D6" w:rsidRPr="00310D9D" w:rsidRDefault="0027275A" w:rsidP="007B3422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>v</w:t>
      </w:r>
      <w:r w:rsidR="00AB51D6" w:rsidRPr="00310D9D">
        <w:rPr>
          <w:rFonts w:asciiTheme="minorHAnsi" w:hAnsiTheme="minorHAnsi" w:cstheme="minorHAnsi"/>
          <w:sz w:val="22"/>
          <w:szCs w:val="22"/>
        </w:rPr>
        <w:t xml:space="preserve">lastní bezpečnostní dohledové systémy </w:t>
      </w:r>
      <w:r w:rsidR="00B40817" w:rsidRPr="00310D9D">
        <w:rPr>
          <w:rFonts w:asciiTheme="minorHAnsi" w:hAnsiTheme="minorHAnsi" w:cstheme="minorHAnsi"/>
          <w:sz w:val="22"/>
          <w:szCs w:val="22"/>
        </w:rPr>
        <w:t>(</w:t>
      </w:r>
      <w:r w:rsidR="00F957A8" w:rsidRPr="00310D9D">
        <w:rPr>
          <w:rFonts w:asciiTheme="minorHAnsi" w:hAnsiTheme="minorHAnsi" w:cstheme="minorHAnsi"/>
          <w:sz w:val="22"/>
          <w:szCs w:val="22"/>
        </w:rPr>
        <w:t>Flow</w:t>
      </w:r>
      <w:r w:rsidR="00B40817" w:rsidRPr="00310D9D">
        <w:rPr>
          <w:rFonts w:asciiTheme="minorHAnsi" w:hAnsiTheme="minorHAnsi" w:cstheme="minorHAnsi"/>
          <w:sz w:val="22"/>
          <w:szCs w:val="22"/>
        </w:rPr>
        <w:t>mon</w:t>
      </w:r>
      <w:r w:rsidR="00AB51D6" w:rsidRPr="00310D9D">
        <w:rPr>
          <w:rFonts w:asciiTheme="minorHAnsi" w:hAnsiTheme="minorHAnsi" w:cstheme="minorHAnsi"/>
          <w:sz w:val="22"/>
          <w:szCs w:val="22"/>
        </w:rPr>
        <w:t xml:space="preserve">, </w:t>
      </w:r>
      <w:r w:rsidR="00B40817" w:rsidRPr="00310D9D">
        <w:rPr>
          <w:rFonts w:asciiTheme="minorHAnsi" w:hAnsiTheme="minorHAnsi" w:cstheme="minorHAnsi"/>
          <w:sz w:val="22"/>
          <w:szCs w:val="22"/>
        </w:rPr>
        <w:t>SIEM, AddNet</w:t>
      </w:r>
      <w:r w:rsidR="004268E8">
        <w:rPr>
          <w:rFonts w:asciiTheme="minorHAnsi" w:hAnsiTheme="minorHAnsi" w:cstheme="minorHAnsi"/>
          <w:sz w:val="22"/>
          <w:szCs w:val="22"/>
        </w:rPr>
        <w:t>, Logmanagement</w:t>
      </w:r>
      <w:r w:rsidR="00B40817" w:rsidRPr="00310D9D">
        <w:rPr>
          <w:rFonts w:asciiTheme="minorHAnsi" w:hAnsiTheme="minorHAnsi" w:cstheme="minorHAnsi"/>
          <w:sz w:val="22"/>
          <w:szCs w:val="22"/>
        </w:rPr>
        <w:t xml:space="preserve">) </w:t>
      </w:r>
      <w:r w:rsidR="00AB51D6" w:rsidRPr="00310D9D">
        <w:rPr>
          <w:rFonts w:asciiTheme="minorHAnsi" w:hAnsiTheme="minorHAnsi" w:cstheme="minorHAnsi"/>
          <w:sz w:val="22"/>
          <w:szCs w:val="22"/>
        </w:rPr>
        <w:t xml:space="preserve">včetně </w:t>
      </w:r>
      <w:r w:rsidR="00F91C13" w:rsidRPr="00310D9D">
        <w:rPr>
          <w:rFonts w:asciiTheme="minorHAnsi" w:hAnsiTheme="minorHAnsi" w:cstheme="minorHAnsi"/>
          <w:sz w:val="22"/>
          <w:szCs w:val="22"/>
        </w:rPr>
        <w:t xml:space="preserve">umožnění </w:t>
      </w:r>
      <w:r w:rsidR="009F6902" w:rsidRPr="00310D9D">
        <w:rPr>
          <w:rFonts w:asciiTheme="minorHAnsi" w:hAnsiTheme="minorHAnsi" w:cstheme="minorHAnsi"/>
          <w:sz w:val="22"/>
          <w:szCs w:val="22"/>
        </w:rPr>
        <w:t xml:space="preserve">potřebné </w:t>
      </w:r>
      <w:r w:rsidR="00AB51D6" w:rsidRPr="00310D9D">
        <w:rPr>
          <w:rFonts w:asciiTheme="minorHAnsi" w:hAnsiTheme="minorHAnsi" w:cstheme="minorHAnsi"/>
          <w:sz w:val="22"/>
          <w:szCs w:val="22"/>
        </w:rPr>
        <w:t>základní konfigurace</w:t>
      </w:r>
      <w:r w:rsidR="00F91C13" w:rsidRPr="00310D9D">
        <w:rPr>
          <w:rFonts w:asciiTheme="minorHAnsi" w:hAnsiTheme="minorHAnsi" w:cstheme="minorHAnsi"/>
          <w:sz w:val="22"/>
          <w:szCs w:val="22"/>
        </w:rPr>
        <w:t xml:space="preserve"> </w:t>
      </w:r>
      <w:r w:rsidR="009F6902" w:rsidRPr="00310D9D">
        <w:rPr>
          <w:rFonts w:asciiTheme="minorHAnsi" w:hAnsiTheme="minorHAnsi" w:cstheme="minorHAnsi"/>
          <w:sz w:val="22"/>
          <w:szCs w:val="22"/>
        </w:rPr>
        <w:t xml:space="preserve">pro monitoring </w:t>
      </w:r>
      <w:r w:rsidR="0058138C" w:rsidRPr="00310D9D">
        <w:rPr>
          <w:rFonts w:asciiTheme="minorHAnsi" w:hAnsiTheme="minorHAnsi" w:cstheme="minorHAnsi"/>
          <w:sz w:val="22"/>
          <w:szCs w:val="22"/>
        </w:rPr>
        <w:t>poskytovatel</w:t>
      </w:r>
      <w:r w:rsidR="009F6902" w:rsidRPr="00310D9D">
        <w:rPr>
          <w:rFonts w:asciiTheme="minorHAnsi" w:hAnsiTheme="minorHAnsi" w:cstheme="minorHAnsi"/>
          <w:sz w:val="22"/>
          <w:szCs w:val="22"/>
        </w:rPr>
        <w:t>em</w:t>
      </w:r>
      <w:r w:rsidR="0058138C" w:rsidRPr="00310D9D">
        <w:rPr>
          <w:rFonts w:asciiTheme="minorHAnsi" w:hAnsiTheme="minorHAnsi" w:cstheme="minorHAnsi"/>
          <w:sz w:val="22"/>
          <w:szCs w:val="22"/>
        </w:rPr>
        <w:t xml:space="preserve"> služby</w:t>
      </w:r>
      <w:r w:rsidR="00AB51D6" w:rsidRPr="00310D9D">
        <w:rPr>
          <w:rFonts w:asciiTheme="minorHAnsi" w:hAnsiTheme="minorHAnsi" w:cstheme="minorHAnsi"/>
          <w:sz w:val="22"/>
          <w:szCs w:val="22"/>
        </w:rPr>
        <w:t xml:space="preserve">. </w:t>
      </w:r>
      <w:r w:rsidR="000E0646" w:rsidRPr="00310D9D">
        <w:rPr>
          <w:rFonts w:asciiTheme="minorHAnsi" w:hAnsiTheme="minorHAnsi" w:cstheme="minorHAnsi"/>
          <w:b/>
          <w:sz w:val="22"/>
          <w:szCs w:val="22"/>
          <w:u w:val="single"/>
        </w:rPr>
        <w:t>Pozn.:</w:t>
      </w:r>
      <w:r w:rsidR="000E0646" w:rsidRPr="00310D9D">
        <w:rPr>
          <w:rFonts w:asciiTheme="minorHAnsi" w:hAnsiTheme="minorHAnsi" w:cstheme="minorHAnsi"/>
          <w:sz w:val="22"/>
          <w:szCs w:val="22"/>
        </w:rPr>
        <w:t xml:space="preserve"> </w:t>
      </w:r>
      <w:r w:rsidR="00AB51D6" w:rsidRPr="00310D9D">
        <w:rPr>
          <w:rFonts w:asciiTheme="minorHAnsi" w:hAnsiTheme="minorHAnsi" w:cstheme="minorHAnsi"/>
          <w:sz w:val="22"/>
          <w:szCs w:val="22"/>
        </w:rPr>
        <w:t xml:space="preserve">Zadavatel pro vyloučení všech pochybností uvádí, že </w:t>
      </w:r>
      <w:r w:rsidR="00AB51D6" w:rsidRPr="00310D9D">
        <w:rPr>
          <w:rFonts w:asciiTheme="minorHAnsi" w:hAnsiTheme="minorHAnsi" w:cstheme="minorHAnsi"/>
          <w:b/>
          <w:i/>
          <w:sz w:val="22"/>
          <w:szCs w:val="22"/>
        </w:rPr>
        <w:t>samu schopnost zálohy a obnovy po výpadku svých systémů nebude hodnotit jako dostatečnou aplikaci opatření zajišťujících vysokou dostupnost služby.</w:t>
      </w:r>
    </w:p>
    <w:p w14:paraId="16ECBADB" w14:textId="67F6E65F" w:rsidR="005D68B8" w:rsidRPr="00310D9D" w:rsidRDefault="008D37B3" w:rsidP="007B3422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>p</w:t>
      </w:r>
      <w:r w:rsidR="005D68B8" w:rsidRPr="00310D9D">
        <w:rPr>
          <w:rFonts w:asciiTheme="minorHAnsi" w:hAnsiTheme="minorHAnsi" w:cstheme="minorHAnsi"/>
          <w:sz w:val="22"/>
          <w:szCs w:val="22"/>
        </w:rPr>
        <w:t>ropojení VPN typu Site-to-Site</w:t>
      </w:r>
      <w:r w:rsidRPr="00310D9D">
        <w:rPr>
          <w:rFonts w:asciiTheme="minorHAnsi" w:hAnsiTheme="minorHAnsi" w:cstheme="minorHAnsi"/>
          <w:sz w:val="22"/>
          <w:szCs w:val="22"/>
        </w:rPr>
        <w:t xml:space="preserve"> s úrovní šifrování, podle aktuálního nařízení NÚKIB</w:t>
      </w:r>
      <w:r w:rsidR="007B3422" w:rsidRPr="00310D9D">
        <w:rPr>
          <w:rFonts w:asciiTheme="minorHAnsi" w:hAnsiTheme="minorHAnsi" w:cstheme="minorHAnsi"/>
          <w:sz w:val="22"/>
          <w:szCs w:val="22"/>
        </w:rPr>
        <w:t>.</w:t>
      </w:r>
    </w:p>
    <w:p w14:paraId="6F66759F" w14:textId="48BB47E4" w:rsidR="009B093C" w:rsidRPr="00310D9D" w:rsidRDefault="009B093C" w:rsidP="008D1A6D">
      <w:pPr>
        <w:rPr>
          <w:rFonts w:asciiTheme="minorHAnsi" w:hAnsiTheme="minorHAnsi" w:cstheme="minorHAnsi"/>
          <w:b/>
          <w:color w:val="FF0000"/>
        </w:rPr>
      </w:pPr>
    </w:p>
    <w:p w14:paraId="717B0EF8" w14:textId="77F1A372" w:rsidR="00C03AEB" w:rsidRPr="00310D9D" w:rsidRDefault="00C03AEB" w:rsidP="004C6901">
      <w:pPr>
        <w:pStyle w:val="Nadpis1"/>
        <w:rPr>
          <w:rFonts w:asciiTheme="minorHAnsi" w:hAnsiTheme="minorHAnsi" w:cstheme="minorHAnsi"/>
        </w:rPr>
      </w:pPr>
      <w:r w:rsidRPr="00310D9D">
        <w:rPr>
          <w:rFonts w:asciiTheme="minorHAnsi" w:hAnsiTheme="minorHAnsi" w:cstheme="minorHAnsi"/>
        </w:rPr>
        <w:t>Technick</w:t>
      </w:r>
      <w:r w:rsidR="00144D3F" w:rsidRPr="00310D9D">
        <w:rPr>
          <w:rFonts w:asciiTheme="minorHAnsi" w:hAnsiTheme="minorHAnsi" w:cstheme="minorHAnsi"/>
        </w:rPr>
        <w:t>á</w:t>
      </w:r>
      <w:r w:rsidRPr="00310D9D">
        <w:rPr>
          <w:rFonts w:asciiTheme="minorHAnsi" w:hAnsiTheme="minorHAnsi" w:cstheme="minorHAnsi"/>
        </w:rPr>
        <w:t xml:space="preserve"> specifikace</w:t>
      </w:r>
    </w:p>
    <w:p w14:paraId="698BFF85" w14:textId="5C8DF660" w:rsidR="00C03AEB" w:rsidRPr="00310D9D" w:rsidRDefault="00E22810" w:rsidP="004C6901">
      <w:pPr>
        <w:pStyle w:val="Nadpis2"/>
        <w:rPr>
          <w:rFonts w:asciiTheme="minorHAnsi" w:hAnsiTheme="minorHAnsi" w:cstheme="minorHAnsi"/>
        </w:rPr>
      </w:pPr>
      <w:r w:rsidRPr="00310D9D">
        <w:rPr>
          <w:rFonts w:asciiTheme="minorHAnsi" w:hAnsiTheme="minorHAnsi" w:cstheme="minorHAnsi"/>
        </w:rPr>
        <w:t>D</w:t>
      </w:r>
      <w:r w:rsidR="00C03AEB" w:rsidRPr="00310D9D">
        <w:rPr>
          <w:rFonts w:asciiTheme="minorHAnsi" w:hAnsiTheme="minorHAnsi" w:cstheme="minorHAnsi"/>
        </w:rPr>
        <w:t>ohledové centrum kybernetické bezpečnosti (SOC)</w:t>
      </w:r>
    </w:p>
    <w:p w14:paraId="267A3D52" w14:textId="32609A89" w:rsidR="00C70329" w:rsidRPr="00310D9D" w:rsidRDefault="008A68DD" w:rsidP="004C6901">
      <w:p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 xml:space="preserve">Předmětem zakázky je </w:t>
      </w:r>
      <w:r w:rsidRPr="00310D9D">
        <w:rPr>
          <w:rFonts w:asciiTheme="minorHAnsi" w:hAnsiTheme="minorHAnsi" w:cstheme="minorHAnsi"/>
          <w:bCs/>
          <w:sz w:val="22"/>
          <w:szCs w:val="22"/>
        </w:rPr>
        <w:t>komplexní zajištění služeb dohledového centra kybernetické bezpečnosti (</w:t>
      </w:r>
      <w:r w:rsidR="00B40817" w:rsidRPr="00310D9D">
        <w:rPr>
          <w:rFonts w:asciiTheme="minorHAnsi" w:hAnsiTheme="minorHAnsi" w:cstheme="minorHAnsi"/>
          <w:bCs/>
          <w:sz w:val="22"/>
          <w:szCs w:val="22"/>
        </w:rPr>
        <w:t>SOC – Security</w:t>
      </w:r>
      <w:r w:rsidRPr="00310D9D">
        <w:rPr>
          <w:rFonts w:asciiTheme="minorHAnsi" w:hAnsiTheme="minorHAnsi" w:cstheme="minorHAnsi"/>
          <w:sz w:val="22"/>
          <w:szCs w:val="22"/>
        </w:rPr>
        <w:t xml:space="preserve"> Operation Centrum</w:t>
      </w:r>
      <w:r w:rsidRPr="00310D9D">
        <w:rPr>
          <w:rFonts w:asciiTheme="minorHAnsi" w:hAnsiTheme="minorHAnsi" w:cstheme="minorHAnsi"/>
          <w:bCs/>
          <w:sz w:val="22"/>
          <w:szCs w:val="22"/>
        </w:rPr>
        <w:t>)</w:t>
      </w:r>
      <w:r w:rsidR="00997F11" w:rsidRPr="00310D9D">
        <w:rPr>
          <w:rFonts w:asciiTheme="minorHAnsi" w:hAnsiTheme="minorHAnsi" w:cstheme="minorHAnsi"/>
          <w:bCs/>
          <w:sz w:val="22"/>
          <w:szCs w:val="22"/>
        </w:rPr>
        <w:t>, p</w:t>
      </w:r>
      <w:r w:rsidR="00C70329" w:rsidRPr="00310D9D">
        <w:rPr>
          <w:rFonts w:asciiTheme="minorHAnsi" w:hAnsiTheme="minorHAnsi" w:cstheme="minorHAnsi"/>
          <w:sz w:val="22"/>
          <w:szCs w:val="22"/>
        </w:rPr>
        <w:t>ředevším:</w:t>
      </w:r>
    </w:p>
    <w:p w14:paraId="1A02813F" w14:textId="719B2091" w:rsidR="003A3371" w:rsidRPr="00310D9D" w:rsidRDefault="003A3371" w:rsidP="003A3371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 xml:space="preserve">formou služby provozovat </w:t>
      </w:r>
      <w:r w:rsidR="00C03AEB" w:rsidRPr="00310D9D">
        <w:rPr>
          <w:rFonts w:asciiTheme="minorHAnsi" w:hAnsiTheme="minorHAnsi" w:cstheme="minorHAnsi"/>
          <w:sz w:val="22"/>
          <w:szCs w:val="22"/>
        </w:rPr>
        <w:t>centralizovanou správu, ukládání a vyhodnocování logů v nezměnitelné podobě z libovolných síťových aktivních prvků, operačních systémů a používaného aplikačního software</w:t>
      </w:r>
      <w:r w:rsidRPr="00310D9D">
        <w:rPr>
          <w:rFonts w:asciiTheme="minorHAnsi" w:hAnsiTheme="minorHAnsi" w:cstheme="minorHAnsi"/>
          <w:sz w:val="22"/>
          <w:szCs w:val="22"/>
        </w:rPr>
        <w:t xml:space="preserve">, tj. nástroje </w:t>
      </w:r>
      <w:r w:rsidR="00A24E49" w:rsidRPr="00310D9D">
        <w:rPr>
          <w:rFonts w:asciiTheme="minorHAnsi" w:hAnsiTheme="minorHAnsi" w:cstheme="minorHAnsi"/>
          <w:sz w:val="22"/>
          <w:szCs w:val="22"/>
        </w:rPr>
        <w:t>(</w:t>
      </w:r>
      <w:r w:rsidR="00B96FDE" w:rsidRPr="00310D9D">
        <w:rPr>
          <w:rFonts w:asciiTheme="minorHAnsi" w:hAnsiTheme="minorHAnsi" w:cstheme="minorHAnsi"/>
          <w:sz w:val="22"/>
          <w:szCs w:val="22"/>
        </w:rPr>
        <w:t>Flowmon, SIEM, AddNet</w:t>
      </w:r>
      <w:r w:rsidR="004268E8">
        <w:rPr>
          <w:rFonts w:asciiTheme="minorHAnsi" w:hAnsiTheme="minorHAnsi" w:cstheme="minorHAnsi"/>
          <w:sz w:val="22"/>
          <w:szCs w:val="22"/>
        </w:rPr>
        <w:t xml:space="preserve"> a Logmanagement</w:t>
      </w:r>
      <w:r w:rsidR="00A24E49" w:rsidRPr="00310D9D">
        <w:rPr>
          <w:rFonts w:asciiTheme="minorHAnsi" w:hAnsiTheme="minorHAnsi" w:cstheme="minorHAnsi"/>
          <w:sz w:val="22"/>
          <w:szCs w:val="22"/>
        </w:rPr>
        <w:t>)</w:t>
      </w:r>
      <w:r w:rsidRPr="00310D9D">
        <w:rPr>
          <w:rFonts w:asciiTheme="minorHAnsi" w:hAnsiTheme="minorHAnsi" w:cstheme="minorHAnsi"/>
          <w:sz w:val="22"/>
          <w:szCs w:val="22"/>
        </w:rPr>
        <w:t xml:space="preserve">. </w:t>
      </w:r>
      <w:r w:rsidRPr="00310D9D">
        <w:rPr>
          <w:rFonts w:asciiTheme="minorHAnsi" w:hAnsiTheme="minorHAnsi" w:cstheme="minorHAnsi"/>
          <w:sz w:val="22"/>
          <w:szCs w:val="22"/>
        </w:rPr>
        <w:lastRenderedPageBreak/>
        <w:t xml:space="preserve">Implementace systému bude provedena v souladu s </w:t>
      </w:r>
      <w:r w:rsidRPr="00310D9D">
        <w:rPr>
          <w:rFonts w:asciiTheme="minorHAnsi" w:hAnsiTheme="minorHAnsi" w:cstheme="minorHAnsi"/>
          <w:i/>
          <w:sz w:val="22"/>
          <w:szCs w:val="22"/>
        </w:rPr>
        <w:t>§23 Nástroj pro sběr a vyhodnocení kybernetických bezpečnostních událostí</w:t>
      </w:r>
      <w:r w:rsidR="009F6902" w:rsidRPr="00310D9D">
        <w:rPr>
          <w:rFonts w:asciiTheme="minorHAnsi" w:hAnsiTheme="minorHAnsi" w:cstheme="minorHAnsi"/>
          <w:i/>
          <w:sz w:val="22"/>
          <w:szCs w:val="22"/>
        </w:rPr>
        <w:t>.</w:t>
      </w:r>
      <w:r w:rsidRPr="00310D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4C39E7" w14:textId="2DEDD584" w:rsidR="003A3371" w:rsidRPr="00310D9D" w:rsidRDefault="003A3371" w:rsidP="00570EF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>formou služby provozovat centralizovanou správu, ukládání a vyhodnocování komunikačních spojení a výkonnostních parametrů datové sítě</w:t>
      </w:r>
      <w:r w:rsidR="00A10E7C" w:rsidRPr="00310D9D">
        <w:rPr>
          <w:rFonts w:asciiTheme="minorHAnsi" w:hAnsiTheme="minorHAnsi" w:cstheme="minorHAnsi"/>
          <w:sz w:val="22"/>
          <w:szCs w:val="22"/>
        </w:rPr>
        <w:t>, tj. nástroj sběru a vyhodnocení NetFlow</w:t>
      </w:r>
      <w:r w:rsidRPr="00310D9D">
        <w:rPr>
          <w:rFonts w:asciiTheme="minorHAnsi" w:hAnsiTheme="minorHAnsi" w:cstheme="minorHAnsi"/>
          <w:sz w:val="22"/>
          <w:szCs w:val="22"/>
        </w:rPr>
        <w:t>.</w:t>
      </w:r>
      <w:r w:rsidR="00B40E3D" w:rsidRPr="00310D9D">
        <w:rPr>
          <w:rFonts w:asciiTheme="minorHAnsi" w:hAnsiTheme="minorHAnsi" w:cstheme="minorHAnsi"/>
          <w:sz w:val="22"/>
          <w:szCs w:val="22"/>
        </w:rPr>
        <w:t xml:space="preserve"> Implementace systému bude provedena v souladu s </w:t>
      </w:r>
      <w:r w:rsidR="00B40E3D" w:rsidRPr="00310D9D">
        <w:rPr>
          <w:rFonts w:asciiTheme="minorHAnsi" w:hAnsiTheme="minorHAnsi" w:cstheme="minorHAnsi"/>
          <w:i/>
          <w:sz w:val="22"/>
          <w:szCs w:val="22"/>
        </w:rPr>
        <w:t xml:space="preserve">§22 </w:t>
      </w:r>
      <w:r w:rsidR="00954116" w:rsidRPr="00310D9D">
        <w:rPr>
          <w:rFonts w:asciiTheme="minorHAnsi" w:hAnsiTheme="minorHAnsi" w:cstheme="minorHAnsi"/>
          <w:i/>
          <w:sz w:val="22"/>
          <w:szCs w:val="22"/>
        </w:rPr>
        <w:t>Nástroj pro detekci kybernetických bezpečnostních událostí.</w:t>
      </w:r>
    </w:p>
    <w:p w14:paraId="6A696A6D" w14:textId="448447FC" w:rsidR="00C70329" w:rsidRPr="00310D9D" w:rsidRDefault="00C03AEB" w:rsidP="007D4D2F">
      <w:pPr>
        <w:pStyle w:val="Odstavecseseznamem"/>
        <w:rPr>
          <w:rFonts w:asciiTheme="minorHAnsi" w:hAnsiTheme="minorHAnsi" w:cstheme="minorHAnsi"/>
        </w:rPr>
      </w:pPr>
      <w:r w:rsidRPr="00310D9D">
        <w:rPr>
          <w:rFonts w:asciiTheme="minorHAnsi" w:hAnsiTheme="minorHAnsi" w:cstheme="minorHAnsi"/>
        </w:rPr>
        <w:t xml:space="preserve"> </w:t>
      </w:r>
    </w:p>
    <w:p w14:paraId="39B4532D" w14:textId="515D0BCB" w:rsidR="00C03AEB" w:rsidRPr="00310D9D" w:rsidRDefault="00C03AEB" w:rsidP="004C6901">
      <w:pPr>
        <w:rPr>
          <w:rFonts w:asciiTheme="minorHAnsi" w:hAnsiTheme="minorHAnsi" w:cstheme="minorHAnsi"/>
          <w:sz w:val="22"/>
          <w:szCs w:val="22"/>
        </w:rPr>
      </w:pPr>
      <w:r w:rsidRPr="00310D9D">
        <w:rPr>
          <w:rFonts w:asciiTheme="minorHAnsi" w:hAnsiTheme="minorHAnsi" w:cstheme="minorHAnsi"/>
          <w:sz w:val="22"/>
          <w:szCs w:val="22"/>
        </w:rPr>
        <w:t xml:space="preserve">Požadavky </w:t>
      </w:r>
      <w:r w:rsidR="00B40817" w:rsidRPr="00310D9D">
        <w:rPr>
          <w:rFonts w:asciiTheme="minorHAnsi" w:hAnsiTheme="minorHAnsi" w:cstheme="minorHAnsi"/>
          <w:sz w:val="22"/>
          <w:szCs w:val="22"/>
        </w:rPr>
        <w:t>z</w:t>
      </w:r>
      <w:r w:rsidR="007D4D2F" w:rsidRPr="00310D9D">
        <w:rPr>
          <w:rFonts w:asciiTheme="minorHAnsi" w:hAnsiTheme="minorHAnsi" w:cstheme="minorHAnsi"/>
          <w:sz w:val="22"/>
          <w:szCs w:val="22"/>
        </w:rPr>
        <w:t xml:space="preserve">adavatele </w:t>
      </w:r>
      <w:r w:rsidRPr="00310D9D">
        <w:rPr>
          <w:rFonts w:asciiTheme="minorHAnsi" w:hAnsiTheme="minorHAnsi" w:cstheme="minorHAnsi"/>
          <w:sz w:val="22"/>
          <w:szCs w:val="22"/>
        </w:rPr>
        <w:t xml:space="preserve">jsou uvedeny ve sloupci „Minimální technické požadavky, které </w:t>
      </w:r>
      <w:r w:rsidR="00B40817" w:rsidRPr="00310D9D">
        <w:rPr>
          <w:rFonts w:asciiTheme="minorHAnsi" w:hAnsiTheme="minorHAnsi" w:cstheme="minorHAnsi"/>
          <w:sz w:val="22"/>
          <w:szCs w:val="22"/>
        </w:rPr>
        <w:t>z</w:t>
      </w:r>
      <w:r w:rsidRPr="00310D9D">
        <w:rPr>
          <w:rFonts w:asciiTheme="minorHAnsi" w:hAnsiTheme="minorHAnsi" w:cstheme="minorHAnsi"/>
          <w:sz w:val="22"/>
          <w:szCs w:val="22"/>
        </w:rPr>
        <w:t xml:space="preserve">adavatel požaduje“. </w:t>
      </w:r>
      <w:r w:rsidR="0058138C" w:rsidRPr="00310D9D">
        <w:rPr>
          <w:rFonts w:asciiTheme="minorHAnsi" w:hAnsiTheme="minorHAnsi" w:cstheme="minorHAnsi"/>
          <w:sz w:val="22"/>
          <w:szCs w:val="22"/>
        </w:rPr>
        <w:t xml:space="preserve">Poskytovatel služby </w:t>
      </w:r>
      <w:r w:rsidRPr="00310D9D">
        <w:rPr>
          <w:rFonts w:asciiTheme="minorHAnsi" w:hAnsiTheme="minorHAnsi" w:cstheme="minorHAnsi"/>
          <w:sz w:val="22"/>
          <w:szCs w:val="22"/>
        </w:rPr>
        <w:t xml:space="preserve">je povinen vyplnit, zda jím nabízený produkt / řešení tyto požadavky splňuje, a to v sloupci „Splnění požadavků </w:t>
      </w:r>
      <w:r w:rsidR="007D4D2F" w:rsidRPr="00310D9D">
        <w:rPr>
          <w:rFonts w:asciiTheme="minorHAnsi" w:hAnsiTheme="minorHAnsi" w:cstheme="minorHAnsi"/>
          <w:sz w:val="22"/>
          <w:szCs w:val="22"/>
        </w:rPr>
        <w:t>Zadavatele</w:t>
      </w:r>
      <w:r w:rsidRPr="00310D9D">
        <w:rPr>
          <w:rFonts w:asciiTheme="minorHAnsi" w:hAnsiTheme="minorHAnsi" w:cstheme="minorHAnsi"/>
          <w:sz w:val="22"/>
          <w:szCs w:val="22"/>
        </w:rPr>
        <w:t>“ (</w:t>
      </w:r>
      <w:r w:rsidR="0058138C" w:rsidRPr="00310D9D">
        <w:rPr>
          <w:rFonts w:asciiTheme="minorHAnsi" w:hAnsiTheme="minorHAnsi" w:cstheme="minorHAnsi"/>
          <w:sz w:val="22"/>
          <w:szCs w:val="22"/>
        </w:rPr>
        <w:t>poskytovatel služby</w:t>
      </w:r>
      <w:r w:rsidR="008F6779" w:rsidRPr="00310D9D" w:rsidDel="00BD3279">
        <w:rPr>
          <w:rFonts w:asciiTheme="minorHAnsi" w:hAnsiTheme="minorHAnsi" w:cstheme="minorHAnsi"/>
          <w:sz w:val="22"/>
          <w:szCs w:val="22"/>
        </w:rPr>
        <w:t xml:space="preserve"> </w:t>
      </w:r>
      <w:r w:rsidRPr="00310D9D">
        <w:rPr>
          <w:rFonts w:asciiTheme="minorHAnsi" w:hAnsiTheme="minorHAnsi" w:cstheme="minorHAnsi"/>
          <w:sz w:val="22"/>
          <w:szCs w:val="22"/>
        </w:rPr>
        <w:t>doplní prohlášení ANO nebo NE podle skutečnosti</w:t>
      </w:r>
      <w:r w:rsidR="0058138C" w:rsidRPr="00310D9D">
        <w:rPr>
          <w:rFonts w:asciiTheme="minorHAnsi" w:hAnsiTheme="minorHAnsi" w:cstheme="minorHAnsi"/>
          <w:sz w:val="22"/>
          <w:szCs w:val="22"/>
        </w:rPr>
        <w:t xml:space="preserve"> včetně </w:t>
      </w:r>
      <w:r w:rsidRPr="00310D9D">
        <w:rPr>
          <w:rFonts w:asciiTheme="minorHAnsi" w:hAnsiTheme="minorHAnsi" w:cstheme="minorHAnsi"/>
          <w:sz w:val="22"/>
          <w:szCs w:val="22"/>
        </w:rPr>
        <w:t>odkaz</w:t>
      </w:r>
      <w:r w:rsidR="0058138C" w:rsidRPr="00310D9D">
        <w:rPr>
          <w:rFonts w:asciiTheme="minorHAnsi" w:hAnsiTheme="minorHAnsi" w:cstheme="minorHAnsi"/>
          <w:sz w:val="22"/>
          <w:szCs w:val="22"/>
        </w:rPr>
        <w:t>u</w:t>
      </w:r>
      <w:r w:rsidRPr="00310D9D">
        <w:rPr>
          <w:rFonts w:asciiTheme="minorHAnsi" w:hAnsiTheme="minorHAnsi" w:cstheme="minorHAnsi"/>
          <w:sz w:val="22"/>
          <w:szCs w:val="22"/>
        </w:rPr>
        <w:t xml:space="preserve"> na konkrétní část nabídky, ve které je možné ověřit splnění uvedeného požadavku</w:t>
      </w:r>
      <w:r w:rsidR="0058138C" w:rsidRPr="00310D9D">
        <w:rPr>
          <w:rFonts w:asciiTheme="minorHAnsi" w:hAnsiTheme="minorHAnsi" w:cstheme="minorHAnsi"/>
          <w:sz w:val="22"/>
          <w:szCs w:val="22"/>
        </w:rPr>
        <w:t>)</w:t>
      </w:r>
      <w:r w:rsidRPr="00310D9D">
        <w:rPr>
          <w:rFonts w:asciiTheme="minorHAnsi" w:hAnsiTheme="minorHAnsi" w:cstheme="minorHAnsi"/>
          <w:sz w:val="22"/>
          <w:szCs w:val="22"/>
        </w:rPr>
        <w:t>.</w:t>
      </w:r>
      <w:r w:rsidRPr="00310D9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0E45877" w14:textId="77777777" w:rsidR="00B40817" w:rsidRPr="00310D9D" w:rsidRDefault="00B40817" w:rsidP="004C69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474" w:type="pct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7449"/>
        <w:gridCol w:w="1853"/>
      </w:tblGrid>
      <w:tr w:rsidR="00144D3F" w:rsidRPr="00310D9D" w14:paraId="0B295996" w14:textId="77777777" w:rsidTr="00952384">
        <w:trPr>
          <w:trHeight w:val="594"/>
        </w:trPr>
        <w:tc>
          <w:tcPr>
            <w:tcW w:w="8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70" w:type="dxa"/>
            </w:tcMar>
          </w:tcPr>
          <w:p w14:paraId="55E7C5DB" w14:textId="08273B5F" w:rsidR="00144D3F" w:rsidRPr="00310D9D" w:rsidRDefault="00144D3F" w:rsidP="007D4D2F">
            <w:pPr>
              <w:rPr>
                <w:rFonts w:asciiTheme="minorHAnsi" w:hAnsiTheme="minorHAnsi" w:cstheme="minorHAnsi"/>
                <w:b/>
              </w:rPr>
            </w:pPr>
            <w:r w:rsidRPr="00310D9D">
              <w:rPr>
                <w:rFonts w:asciiTheme="minorHAnsi" w:hAnsiTheme="minorHAnsi" w:cstheme="minorHAnsi"/>
                <w:b/>
              </w:rPr>
              <w:t xml:space="preserve">Minimální technické požadavky, které </w:t>
            </w:r>
            <w:r w:rsidR="007D4D2F" w:rsidRPr="00310D9D">
              <w:rPr>
                <w:rFonts w:asciiTheme="minorHAnsi" w:hAnsiTheme="minorHAnsi" w:cstheme="minorHAnsi"/>
                <w:b/>
              </w:rPr>
              <w:t xml:space="preserve">Zadavatel </w:t>
            </w:r>
            <w:r w:rsidRPr="00310D9D">
              <w:rPr>
                <w:rFonts w:asciiTheme="minorHAnsi" w:hAnsiTheme="minorHAnsi" w:cstheme="minorHAnsi"/>
                <w:b/>
              </w:rPr>
              <w:t>požaduje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67" w:type="dxa"/>
            </w:tcMar>
          </w:tcPr>
          <w:p w14:paraId="379E3A9A" w14:textId="25070D17" w:rsidR="00144D3F" w:rsidRPr="00310D9D" w:rsidRDefault="00144D3F" w:rsidP="007D4D2F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b/>
              </w:rPr>
              <w:t xml:space="preserve">Splnění požadavků </w:t>
            </w:r>
            <w:r w:rsidR="007D4D2F" w:rsidRPr="00310D9D">
              <w:rPr>
                <w:rFonts w:asciiTheme="minorHAnsi" w:hAnsiTheme="minorHAnsi" w:cstheme="minorHAnsi"/>
                <w:b/>
              </w:rPr>
              <w:t xml:space="preserve">Zadavatele </w:t>
            </w:r>
            <w:r w:rsidRPr="00310D9D">
              <w:rPr>
                <w:rFonts w:asciiTheme="minorHAnsi" w:hAnsiTheme="minorHAnsi" w:cstheme="minorHAnsi"/>
                <w:b/>
              </w:rPr>
              <w:t>(ANO/NE)</w:t>
            </w:r>
          </w:p>
        </w:tc>
      </w:tr>
      <w:tr w:rsidR="00144D3F" w:rsidRPr="00310D9D" w14:paraId="7ED010BB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9E2F3" w:themeFill="accent5" w:themeFillTint="33"/>
            <w:tcMar>
              <w:left w:w="70" w:type="dxa"/>
            </w:tcMar>
            <w:vAlign w:val="center"/>
          </w:tcPr>
          <w:p w14:paraId="0E66D379" w14:textId="77777777" w:rsidR="00144D3F" w:rsidRPr="00310D9D" w:rsidRDefault="00144D3F" w:rsidP="004C6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E2F3" w:themeFill="accent5" w:themeFillTint="33"/>
            <w:tcMar>
              <w:left w:w="67" w:type="dxa"/>
            </w:tcMar>
            <w:vAlign w:val="center"/>
          </w:tcPr>
          <w:p w14:paraId="19CB7624" w14:textId="2D08D1D9" w:rsidR="00144D3F" w:rsidRPr="00310D9D" w:rsidRDefault="00144D3F" w:rsidP="004C6901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b/>
              </w:rPr>
              <w:t xml:space="preserve">Požadavky na </w:t>
            </w:r>
            <w:r w:rsidR="00315010" w:rsidRPr="00310D9D">
              <w:rPr>
                <w:rFonts w:asciiTheme="minorHAnsi" w:hAnsiTheme="minorHAnsi" w:cstheme="minorHAnsi"/>
                <w:b/>
              </w:rPr>
              <w:t xml:space="preserve">služby </w:t>
            </w:r>
            <w:r w:rsidRPr="00310D9D">
              <w:rPr>
                <w:rFonts w:asciiTheme="minorHAnsi" w:hAnsiTheme="minorHAnsi" w:cstheme="minorHAnsi"/>
                <w:b/>
              </w:rPr>
              <w:t>SOC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E2F3" w:themeFill="accent5" w:themeFillTint="33"/>
            <w:tcMar>
              <w:left w:w="67" w:type="dxa"/>
            </w:tcMar>
          </w:tcPr>
          <w:p w14:paraId="2D800ADC" w14:textId="77777777" w:rsidR="00144D3F" w:rsidRPr="00310D9D" w:rsidRDefault="00144D3F" w:rsidP="004C6901">
            <w:pPr>
              <w:rPr>
                <w:rFonts w:asciiTheme="minorHAnsi" w:hAnsiTheme="minorHAnsi" w:cstheme="minorHAnsi"/>
              </w:rPr>
            </w:pPr>
          </w:p>
        </w:tc>
      </w:tr>
      <w:tr w:rsidR="007700EA" w:rsidRPr="00310D9D" w14:paraId="16BE6E0C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930099" w14:textId="4A55718B" w:rsidR="007700EA" w:rsidRPr="00310D9D" w:rsidRDefault="007700EA" w:rsidP="007700EA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38AE085" w14:textId="7903050F" w:rsidR="007700EA" w:rsidRPr="00310D9D" w:rsidRDefault="007700EA" w:rsidP="00F45B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Zadavatel předpokládá realizaci uvedených úloh prostředky a technologiemi </w:t>
            </w:r>
            <w:r w:rsidR="0058138C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adavatele, nejméně v rozsahu řešení sběru NetFlow</w:t>
            </w:r>
            <w:r w:rsidR="007D6A5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7D6A5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Addnet</w:t>
            </w:r>
            <w:proofErr w:type="spellEnd"/>
            <w:r w:rsidR="004268E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D6A5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SIEM </w:t>
            </w:r>
            <w:r w:rsidR="004268E8">
              <w:rPr>
                <w:rFonts w:asciiTheme="minorHAnsi" w:hAnsiTheme="minorHAnsi" w:cstheme="minorHAnsi"/>
                <w:bCs/>
                <w:sz w:val="22"/>
                <w:szCs w:val="22"/>
              </w:rPr>
              <w:t>a Logmanagement</w:t>
            </w:r>
            <w:r w:rsidR="00E556B9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6B9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které </w:t>
            </w:r>
            <w:r w:rsidR="0058138C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adavatel </w:t>
            </w:r>
            <w:r w:rsidR="00E556B9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již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vlastní. Služba </w:t>
            </w:r>
            <w:r w:rsidR="00FB64CE" w:rsidRPr="00310D9D">
              <w:rPr>
                <w:rFonts w:asciiTheme="minorHAnsi" w:hAnsiTheme="minorHAnsi" w:cstheme="minorHAnsi"/>
                <w:sz w:val="22"/>
                <w:szCs w:val="22"/>
              </w:rPr>
              <w:t>poskytovatele</w:t>
            </w:r>
            <w:r w:rsidR="00B40E3D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zohlední přítomnost těchto prostředků na straně </w:t>
            </w:r>
            <w:r w:rsidR="0058138C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adavatele v tom smyslu, že jako primární a rozhodné nástroje </w:t>
            </w:r>
            <w:r w:rsidR="0058138C" w:rsidRPr="00310D9D"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="00B40E3D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využije tyto prostředky a celý rozsah služby bude provádět jejich prostřednictvím.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1D44096" w14:textId="77777777" w:rsidR="007700EA" w:rsidRPr="00310D9D" w:rsidRDefault="007700EA" w:rsidP="007700EA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23AD4C02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025711" w14:textId="363E63CD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AD2D1BD" w14:textId="6DB383E8" w:rsidR="00BA7906" w:rsidRPr="00310D9D" w:rsidRDefault="00BA7906" w:rsidP="00BA7906">
            <w:pPr>
              <w:spacing w:before="56" w:after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Bezpečnostní dohledové centrum </w:t>
            </w:r>
            <w:r w:rsidR="00FB64CE" w:rsidRPr="00310D9D">
              <w:rPr>
                <w:rFonts w:asciiTheme="minorHAnsi" w:hAnsiTheme="minorHAnsi" w:cstheme="minorHAnsi"/>
                <w:sz w:val="22"/>
                <w:szCs w:val="22"/>
              </w:rPr>
              <w:t>poskytovatele služby</w:t>
            </w:r>
            <w:r w:rsidR="00F45B15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musí podporovat práci s nástroji </w:t>
            </w:r>
            <w:r w:rsidR="0058138C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</w:t>
            </w:r>
            <w:r w:rsidR="00FC4AA0"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54C4F9BB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316C524D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22A80D" w14:textId="12878A9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E814D99" w14:textId="2765D1D1" w:rsidR="00BA7906" w:rsidRPr="00310D9D" w:rsidRDefault="00FB64CE" w:rsidP="00F45B15">
            <w:pPr>
              <w:spacing w:before="56" w:after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="00F45B15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služby navrhne modifikaci relevantních procesů na straně </w:t>
            </w:r>
            <w:r w:rsidR="0058138C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>adavatele, včetně atributů a parametrů procesů potřebných pro doručení služby.</w:t>
            </w:r>
          </w:p>
          <w:p w14:paraId="5295BE62" w14:textId="640A1195" w:rsidR="00F45B15" w:rsidRPr="00310D9D" w:rsidRDefault="00F45B15" w:rsidP="00F45B15">
            <w:pPr>
              <w:spacing w:before="56" w:after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Konfigurační změny a úpravy prostředků </w:t>
            </w:r>
            <w:r w:rsidR="0058138C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adavatele nutných pro připojení k službě provede </w:t>
            </w:r>
            <w:r w:rsidR="00FB64CE" w:rsidRPr="00310D9D">
              <w:rPr>
                <w:rFonts w:asciiTheme="minorHAnsi" w:hAnsiTheme="minorHAnsi" w:cstheme="minorHAnsi"/>
                <w:sz w:val="22"/>
                <w:szCs w:val="22"/>
              </w:rPr>
              <w:t>poskytovatel služby</w:t>
            </w:r>
            <w:r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vlastním nákladem jako součást služby a předá je do vlastnictví </w:t>
            </w:r>
            <w:r w:rsidR="0058138C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55B59044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591A5C1F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C39092" w14:textId="74DC7188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7C8E02EF" w14:textId="1AD84130" w:rsidR="00BA7906" w:rsidRPr="00310D9D" w:rsidRDefault="00BA7906" w:rsidP="00BA7906">
            <w:pPr>
              <w:spacing w:before="56" w:after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Poskytovatel služby navrhne modifikaci konfigurace SIEM řešení na straně </w:t>
            </w:r>
            <w:r w:rsidR="00FB64CE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adavatele, včetně atributů a parametrů potřebných pro doručení služby.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6F13791E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4620D1B7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8F8C98" w14:textId="47FC74D4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D119BDB" w14:textId="0C9CFA9E" w:rsidR="00BA7906" w:rsidRPr="00310D9D" w:rsidRDefault="00BA7906" w:rsidP="00CD4A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Služba dostupná v českém jazyce</w:t>
            </w:r>
            <w:r w:rsidR="009F6902"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794E4F9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0F7E16EB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45ADEF" w14:textId="3B1ABDC3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3F2E83F7" w14:textId="488B6104" w:rsidR="00BA7906" w:rsidRPr="00310D9D" w:rsidRDefault="00BA7906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Služba dohledu je zajišťována z území ČR.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68961E9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51FFEFD8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A4A617" w14:textId="0BEEA60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3084C641" w14:textId="220B5AAA" w:rsidR="00BA7906" w:rsidRPr="00310D9D" w:rsidRDefault="00BA7906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V rámci služby bude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="00FA01FB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služby</w:t>
            </w:r>
            <w:r w:rsidR="00AF6F87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vytvořeno bezpečné uložiště pro sdílení kompletních materiálů k poskytované službě</w:t>
            </w:r>
            <w:r w:rsidR="00195D51"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0B675DD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4E27F1BA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A10C6E" w14:textId="5D641942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766C56E" w14:textId="0F76987C" w:rsidR="00BA7906" w:rsidRPr="00310D9D" w:rsidRDefault="00BA7906" w:rsidP="00BA7906">
            <w:pPr>
              <w:spacing w:line="240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Správa a dohled zdrojů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5D27DA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zajištění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Performance a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Capacity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CB0F543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1DFDBD62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715CBC" w14:textId="6429D416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lastRenderedPageBreak/>
              <w:t>9.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30FF9547" w14:textId="4BEB2D17" w:rsidR="00BA7906" w:rsidRPr="00310D9D" w:rsidRDefault="00BA7906" w:rsidP="00BA7906">
            <w:pPr>
              <w:spacing w:line="240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  <w:r w:rsidR="00310D9D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ť</w:t>
            </w: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ový </w:t>
            </w:r>
            <w:r w:rsidR="00513910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dohled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zajištění</w:t>
            </w:r>
            <w:r w:rsidR="005D27DA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Network Performance Monitoring and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Diagnostics</w:t>
            </w:r>
            <w:proofErr w:type="spellEnd"/>
            <w:r w:rsidR="00496BAF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715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zajištění </w:t>
            </w:r>
            <w:proofErr w:type="spellStart"/>
            <w:r w:rsidR="00496BAF" w:rsidRPr="00310D9D">
              <w:rPr>
                <w:rFonts w:asciiTheme="minorHAnsi" w:hAnsiTheme="minorHAnsi" w:cstheme="minorHAnsi"/>
                <w:sz w:val="22"/>
                <w:szCs w:val="22"/>
              </w:rPr>
              <w:t>Detection</w:t>
            </w:r>
            <w:proofErr w:type="spellEnd"/>
            <w:r w:rsidR="00496BAF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96BAF" w:rsidRPr="00310D9D">
              <w:rPr>
                <w:rFonts w:asciiTheme="minorHAnsi" w:hAnsiTheme="minorHAnsi" w:cstheme="minorHAnsi"/>
                <w:sz w:val="22"/>
                <w:szCs w:val="22"/>
              </w:rPr>
              <w:t>Anomaly</w:t>
            </w:r>
            <w:proofErr w:type="spellEnd"/>
            <w:r w:rsidR="00496BAF"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55D2B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Zajištění </w:t>
            </w:r>
            <w:proofErr w:type="spellStart"/>
            <w:r w:rsidR="00055D2B" w:rsidRPr="00310D9D">
              <w:rPr>
                <w:rFonts w:asciiTheme="minorHAnsi" w:hAnsiTheme="minorHAnsi" w:cstheme="minorHAnsi"/>
                <w:sz w:val="22"/>
                <w:szCs w:val="22"/>
              </w:rPr>
              <w:t>Apps</w:t>
            </w:r>
            <w:proofErr w:type="spellEnd"/>
            <w:r w:rsidR="00055D2B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Performance Monitoring.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580E9DBB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5460D35C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A572255" w14:textId="33BA4B66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6BCCE686" w14:textId="12E8293F" w:rsidR="00BA7906" w:rsidRPr="00310D9D" w:rsidRDefault="00BA7906" w:rsidP="00BA7906">
            <w:pPr>
              <w:spacing w:line="240" w:lineRule="auto"/>
              <w:ind w:left="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Bezpečnostní dohled –</w:t>
            </w:r>
            <w:r w:rsidR="005D27DA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27DA" w:rsidRPr="00310D9D">
              <w:rPr>
                <w:rFonts w:asciiTheme="minorHAnsi" w:hAnsiTheme="minorHAnsi" w:cstheme="minorHAnsi"/>
                <w:sz w:val="22"/>
                <w:szCs w:val="22"/>
              </w:rPr>
              <w:t>zajištění správy a provozu nástroje</w:t>
            </w: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SIEM</w:t>
            </w:r>
            <w:r w:rsidR="001E7790"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EB4A61B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635FD7C8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994684" w14:textId="0CEB681E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103FA3F3" w14:textId="171B7654" w:rsidR="00BA7906" w:rsidRPr="00310D9D" w:rsidRDefault="00BA7906" w:rsidP="00BA7906">
            <w:pPr>
              <w:spacing w:line="240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Incident management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44DBA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zajištění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Operátorské činnosti, Incident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handling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, Incident Response.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4815CC4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316DA3CF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E610EF" w14:textId="3E05F521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B2495A4" w14:textId="182D9AB5" w:rsidR="00BA7906" w:rsidRPr="00310D9D" w:rsidRDefault="00BA7906" w:rsidP="00023FA2">
            <w:pPr>
              <w:spacing w:line="240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Analýza incidentů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23FA2" w:rsidRPr="00310D9D">
              <w:rPr>
                <w:rFonts w:asciiTheme="minorHAnsi" w:hAnsiTheme="minorHAnsi" w:cstheme="minorHAnsi"/>
                <w:sz w:val="22"/>
                <w:szCs w:val="22"/>
              </w:rPr>
              <w:t>zajištění o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dborné činnosti v detekci a lokalizaci příčin incidentů</w:t>
            </w:r>
            <w:r w:rsidR="00023FA2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Analytikem </w:t>
            </w:r>
            <w:r w:rsidR="00EE2864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ze strany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poskytovatele služby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58D6EF3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06E904DA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32069A" w14:textId="0599CF9B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83429F2" w14:textId="57E10006" w:rsidR="00BA7906" w:rsidRPr="00310D9D" w:rsidRDefault="00BA7906" w:rsidP="00BA7906">
            <w:pPr>
              <w:spacing w:line="240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Návrhy systematických opatření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Sestavení opatření v organizační a technické úrovni pro posouzení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adavatelem.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643A073F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5AB87D9F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6BDD89" w14:textId="78BE0DE6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91EAF68" w14:textId="3EBA686E" w:rsidR="00BA7906" w:rsidRPr="00310D9D" w:rsidRDefault="00BA7906" w:rsidP="00923789">
            <w:pPr>
              <w:spacing w:line="240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Návrhy řešení incidentů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923789" w:rsidRPr="00310D9D">
              <w:rPr>
                <w:rFonts w:asciiTheme="minorHAnsi" w:hAnsiTheme="minorHAnsi" w:cstheme="minorHAnsi"/>
                <w:sz w:val="22"/>
                <w:szCs w:val="22"/>
              </w:rPr>
              <w:t>zajištění o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dborné činnosti pro kategorizaci na interní a externí příčiny incidentů a k nim příslušných opatření.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93BEC12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37F951F0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B833AC" w14:textId="2E283148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45D39A61" w14:textId="4B8CFBFD" w:rsidR="00BA7906" w:rsidRPr="00310D9D" w:rsidRDefault="00BA7906" w:rsidP="0045480A">
            <w:pPr>
              <w:spacing w:line="240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Reporting a analýza stavů, událostí a incidentů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5480A" w:rsidRPr="00310D9D">
              <w:rPr>
                <w:rFonts w:asciiTheme="minorHAnsi" w:hAnsiTheme="minorHAnsi" w:cstheme="minorHAnsi"/>
                <w:sz w:val="22"/>
                <w:szCs w:val="22"/>
              </w:rPr>
              <w:t>zajištění o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dborné činnosti pro doložení úrovně bezpečnosti vůči interním kontrolním procesům nebo pro doložení vůči externím kontrolním autoritám.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61D65633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053E49D4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C93808" w14:textId="56F77364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C776E90" w14:textId="2BA64ECC" w:rsidR="00BA7906" w:rsidRPr="00310D9D" w:rsidRDefault="00BA7906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Správa informací o aktivech informačních systémů </w:t>
            </w:r>
            <w:r w:rsidR="00513910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adavatele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Zajištění automatizace pro pasportizaci ICT pracovišť manipulujících s klasifikovanými informacemi nebo obsahující privilegované oprávnění k výkonu kritických činností.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CD95443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35C268C7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A2FD1E" w14:textId="6E12B42B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3AC30E0C" w14:textId="0F0E6503" w:rsidR="00BA7906" w:rsidRPr="00310D9D" w:rsidRDefault="00187B5F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Kybernetická </w:t>
            </w:r>
            <w:r w:rsidR="00513910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bezpečnost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Personální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zajištění služby pracovníky s odbornou způsobilostí vyhovující požadavkům na zajištění kybernetické bezpečnosti kritické infrastruktury v souladu s požadavky </w:t>
            </w:r>
            <w:r w:rsidR="00BA7906"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>zákona 181/2014Sb. o kybernetické bezpečnosti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v celém průběhu služby a všech jejích procesů a rutin.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67FEBFB8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2853276B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98C1DB" w14:textId="5E96C49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951ACAE" w14:textId="2EBB9528" w:rsidR="00BA7906" w:rsidRPr="00310D9D" w:rsidRDefault="00187B5F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Režim </w:t>
            </w:r>
            <w:r w:rsidR="00513910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Maintenance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Plánování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odstávek poskytované služby se zajištěnou náhradou.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D5A3294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75E82E44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269C9B" w14:textId="5900AF25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F52B6DB" w14:textId="18F99A40" w:rsidR="00BA7906" w:rsidRPr="00310D9D" w:rsidRDefault="0011281E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</w:t>
            </w:r>
            <w:proofErr w:type="spellStart"/>
            <w:r w:rsidR="00513910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Continuity</w:t>
            </w:r>
            <w:proofErr w:type="spellEnd"/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29A" w:rsidRPr="00310D9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>včetně všech komponent, které využívá</w:t>
            </w:r>
            <w:r w:rsidR="008B629A" w:rsidRPr="00310D9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musí být odolná proti výpadkům a poruchám. Všechny komponenty </w:t>
            </w:r>
            <w:r w:rsidR="00152ACB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služby 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>musí být schopny dlouhodobého provozu bez změny chování a úbytku výkonu.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33DD384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153E3695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A2C110" w14:textId="0A4BF390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66D52A39" w14:textId="46B5ED38" w:rsidR="00BA7906" w:rsidRPr="00310D9D" w:rsidRDefault="0011281E" w:rsidP="00734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Zajištění souladu se zákonem </w:t>
            </w:r>
            <w:proofErr w:type="spellStart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ZoKB</w:t>
            </w:r>
            <w:proofErr w:type="spellEnd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Compliance</w:t>
            </w:r>
            <w:proofErr w:type="spellEnd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Všechny parametry služby musí zajistit na úrovni technologií i procesů splnění požadavků na zajištění potřebné míry informační bezpečnosti, zejména pak: Důvěrnost, Dostupnost, </w:t>
            </w:r>
            <w:r w:rsidR="008B629A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Nepopiratelnost, </w:t>
            </w:r>
            <w:r w:rsidR="00BA7906" w:rsidRPr="00310D9D">
              <w:rPr>
                <w:rFonts w:asciiTheme="minorHAnsi" w:hAnsiTheme="minorHAnsi" w:cstheme="minorHAnsi"/>
                <w:sz w:val="22"/>
                <w:szCs w:val="22"/>
              </w:rPr>
              <w:t>Autentizaci, Autorizaci.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AC1BB61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1651B588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20172F" w14:textId="1ECB9BFA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C262A0A" w14:textId="299C0FC5" w:rsidR="00BA7906" w:rsidRPr="00310D9D" w:rsidRDefault="00A72623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Pokud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 z organizačních důvodů rozhodne pro in-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sourcing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části procesů nebo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workflow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(např. Zřízení analytického týmu, útvaru provozu bezpečnostní infrastru</w:t>
            </w:r>
            <w:r w:rsidR="00B56003" w:rsidRPr="00310D9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tury, Operation centra pro aplikace, systémy, databáze, datovou síť, bezpečnostní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komponenty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atp.) musí služba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poskytovatele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umožnit separaci na úrovní procesů, systémů, dat, přístupových oprávnění, včetně transferu historických dat a informací do prostředí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adavatele. Náklady na změnu hradí </w:t>
            </w:r>
            <w:r w:rsidR="00513910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adavatel. Požadavek na vydělení části služby do samostatné části, není důvodem k okamžité výpovědi smlouvy.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F276B72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183E5810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330008" w14:textId="2BB830E6" w:rsidR="00BA7906" w:rsidRPr="00310D9D" w:rsidRDefault="00A72623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22</w:t>
            </w:r>
            <w:r w:rsidR="00BA7906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63951B94" w14:textId="57D98C1A" w:rsidR="00BA7906" w:rsidRPr="00310D9D" w:rsidRDefault="00BA7906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Adaptace a akceptace sdílených procesů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úpravu procesů na straně </w:t>
            </w:r>
            <w:r w:rsidR="00F0632A" w:rsidRPr="00310D9D">
              <w:rPr>
                <w:rFonts w:asciiTheme="minorHAnsi" w:hAnsiTheme="minorHAnsi" w:cstheme="minorHAnsi"/>
                <w:sz w:val="22"/>
                <w:szCs w:val="22"/>
              </w:rPr>
              <w:t>poskytovatele služby</w:t>
            </w:r>
            <w:r w:rsidR="00EE7BB6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 návrh na jejich integraci s relevantními procesy na straně </w:t>
            </w:r>
            <w:r w:rsidR="00F0632A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6A4FF386" w14:textId="7B1C108D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BA7906" w:rsidRPr="00310D9D" w14:paraId="444901DE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6A5863" w14:textId="51717371" w:rsidR="00BA7906" w:rsidRPr="00310D9D" w:rsidRDefault="00A72623" w:rsidP="00BA7906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23</w:t>
            </w:r>
            <w:r w:rsidR="00BA7906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3CDA902" w14:textId="1DC1EE2F" w:rsidR="00BA7906" w:rsidRPr="00310D9D" w:rsidRDefault="00BA7906" w:rsidP="00BA7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SLA procesních vstupů a výstupů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monitoring procesů na straně </w:t>
            </w:r>
            <w:r w:rsidR="00F0632A" w:rsidRPr="00310D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poskytovatele služby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F0632A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3D95971" w14:textId="77777777" w:rsidR="00BA7906" w:rsidRPr="00310D9D" w:rsidRDefault="00BA7906" w:rsidP="00BA7906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7B21CB2F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5044B7" w14:textId="1F89642D" w:rsidR="004D4472" w:rsidRPr="00310D9D" w:rsidRDefault="00A72623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24</w:t>
            </w:r>
            <w:r w:rsidR="004D4472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4A68EE08" w14:textId="6D1462B6" w:rsidR="004D4472" w:rsidRPr="00310D9D" w:rsidRDefault="00D603BB" w:rsidP="004D44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Vizitace </w:t>
            </w:r>
            <w:r w:rsidR="00F0632A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adavatele v místě výkonu služby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00A0" w:rsidRPr="00310D9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00A0" w:rsidRPr="00310D9D">
              <w:rPr>
                <w:rFonts w:asciiTheme="minorHAnsi" w:hAnsiTheme="minorHAnsi" w:cstheme="minorHAnsi"/>
                <w:sz w:val="22"/>
                <w:szCs w:val="22"/>
              </w:rPr>
              <w:t>poskytovatel služby</w:t>
            </w:r>
            <w:r w:rsidR="00EE7BB6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před podpisem smlouvy umožní </w:t>
            </w:r>
            <w:r w:rsidR="000400A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adavateli návštěvu vlastního bezpečnostního dohledového centra, aby si mohl ověřit splnění požadavků. Zjištění nedodržení požadavků je důvod pro vyloučení </w:t>
            </w:r>
            <w:r w:rsidR="000400A0" w:rsidRPr="00310D9D">
              <w:rPr>
                <w:rFonts w:asciiTheme="minorHAnsi" w:hAnsiTheme="minorHAnsi" w:cstheme="minorHAnsi"/>
                <w:sz w:val="22"/>
                <w:szCs w:val="22"/>
              </w:rPr>
              <w:t>poskytovatele služby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368082AC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2A91CDD6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center"/>
          </w:tcPr>
          <w:p w14:paraId="3FD975DE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67" w:type="dxa"/>
            </w:tcMar>
            <w:vAlign w:val="center"/>
          </w:tcPr>
          <w:p w14:paraId="148BA5C9" w14:textId="3791DD4D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b/>
              </w:rPr>
              <w:t>Technické požadavky na SOC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67" w:type="dxa"/>
            </w:tcMar>
          </w:tcPr>
          <w:p w14:paraId="4C63C538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2E3B84A6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CB386C" w14:textId="2906B138" w:rsidR="004D4472" w:rsidRPr="00310D9D" w:rsidRDefault="00A72623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25</w:t>
            </w:r>
            <w:r w:rsidR="004D4472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4409334" w14:textId="4BEB40E3" w:rsidR="004D4472" w:rsidRPr="00310D9D" w:rsidRDefault="000400A0" w:rsidP="00DF1690">
            <w:pPr>
              <w:spacing w:before="12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Poskytovatel služby</w:t>
            </w:r>
            <w:r w:rsidR="007203F2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provozuje vlastní </w:t>
            </w:r>
            <w:r w:rsidR="004D4472" w:rsidRPr="00310D9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Nástroj pro sběr a vyhodnocení kybernetických bezpečnostních událostí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, který umožňuje napojení na nástroj pro sběr a vyhodnocení kybernetických bezpečnostních událostí zadavatele</w:t>
            </w:r>
            <w:r w:rsidR="00DF169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3C5BF10E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1D151A6F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5C909F" w14:textId="66E87FE6" w:rsidR="004D4472" w:rsidRPr="00310D9D" w:rsidRDefault="00A72623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26</w:t>
            </w:r>
            <w:r w:rsidR="004D4472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46250611" w14:textId="0FA52F81" w:rsidR="004D4472" w:rsidRPr="00310D9D" w:rsidRDefault="004D4472" w:rsidP="004D4472">
            <w:pPr>
              <w:spacing w:before="12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Rozhodné operace a manipulace jsou prováděny prostředky </w:t>
            </w:r>
            <w:r w:rsidR="000400A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adavatele a nástroje </w:t>
            </w:r>
            <w:r w:rsidR="000400A0" w:rsidRPr="00310D9D">
              <w:rPr>
                <w:rFonts w:asciiTheme="minorHAnsi" w:hAnsiTheme="minorHAnsi" w:cstheme="minorHAnsi"/>
                <w:sz w:val="22"/>
                <w:szCs w:val="22"/>
              </w:rPr>
              <w:t>poskytovatele služby</w:t>
            </w:r>
            <w:r w:rsidR="007203F2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budou sloužit na jeho straně pro případnou agregaci </w:t>
            </w:r>
            <w:r w:rsidR="007203F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informací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 rámci jeho procesů. Žádný ze způsobů propojení nesmí omezit nebo narušit primární autonomní fungování celého řešení jen prostředky </w:t>
            </w:r>
            <w:r w:rsidR="000400A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566A002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60A7BDBD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A3E685" w14:textId="22D48036" w:rsidR="004D4472" w:rsidRPr="00310D9D" w:rsidRDefault="00A72623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27</w:t>
            </w:r>
            <w:r w:rsidR="004D4472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66815ED4" w14:textId="73A27EB9" w:rsidR="004D4472" w:rsidRPr="00310D9D" w:rsidRDefault="007203F2" w:rsidP="004D4472">
            <w:pPr>
              <w:spacing w:before="12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V rámci služby </w:t>
            </w:r>
            <w:r w:rsidR="000400A0" w:rsidRPr="00310D9D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zajistí </w:t>
            </w:r>
            <w:r w:rsidR="004D4472" w:rsidRPr="00310D9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provozní monitoring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bezpečnostních nástrojů </w:t>
            </w:r>
            <w:r w:rsidR="000400A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, dle předmětu zakázky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4D447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 rozsahu:</w:t>
            </w:r>
          </w:p>
          <w:p w14:paraId="0C1FD844" w14:textId="1AEB2150" w:rsidR="004D4472" w:rsidRPr="00310D9D" w:rsidRDefault="004D4472" w:rsidP="004D4472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dostupnost a funkčnost </w:t>
            </w:r>
            <w:r w:rsidR="007203F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bezpečnostních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nástrojů,</w:t>
            </w:r>
          </w:p>
          <w:p w14:paraId="3CB855BC" w14:textId="7EDB0AE4" w:rsidR="004D4472" w:rsidRPr="00310D9D" w:rsidRDefault="004D4472" w:rsidP="004D4472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vytíženost </w:t>
            </w:r>
            <w:r w:rsidR="007203F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bezpečnostních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nástrojů,</w:t>
            </w:r>
          </w:p>
          <w:p w14:paraId="23CF601F" w14:textId="42B70A29" w:rsidR="004D4472" w:rsidRPr="00310D9D" w:rsidRDefault="004D4472" w:rsidP="004D4472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detekce vyčerpání kapacitních zdrojů</w:t>
            </w:r>
            <w:r w:rsidR="007203F2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 bezpečnostních nástrojů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65A75D00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35A2C6B2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26D55A" w14:textId="1AE4D918" w:rsidR="004D4472" w:rsidRPr="00310D9D" w:rsidRDefault="00A72623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28</w:t>
            </w:r>
            <w:r w:rsidR="004D4472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D08E61B" w14:textId="36D0D558" w:rsidR="004D4472" w:rsidRPr="00310D9D" w:rsidRDefault="004D4472" w:rsidP="004D4472">
            <w:pPr>
              <w:spacing w:before="12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 rámci služby </w:t>
            </w:r>
            <w:r w:rsidR="000400A0" w:rsidRPr="00310D9D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="00195236" w:rsidRPr="00310D9D" w:rsidDel="00BD3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zajišťuje </w:t>
            </w:r>
            <w:r w:rsidRPr="00310D9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nastavování </w:t>
            </w:r>
            <w:r w:rsidR="00195236" w:rsidRPr="00310D9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bezpečnostních </w:t>
            </w:r>
            <w:r w:rsidRPr="00310D9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nástrojů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400A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195236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, dle předmětu zakázky, v rozsahu:</w:t>
            </w:r>
          </w:p>
          <w:p w14:paraId="39707825" w14:textId="75806152" w:rsidR="004D4472" w:rsidRPr="00310D9D" w:rsidRDefault="004D4472" w:rsidP="004D4472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úprava a optimalizace korelačních pravidel</w:t>
            </w:r>
            <w:r w:rsidR="00F517E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dle požadavku </w:t>
            </w:r>
            <w:r w:rsidR="000400A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F517E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adavatele nebo </w:t>
            </w:r>
            <w:r w:rsidR="007D40A6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dle </w:t>
            </w:r>
            <w:proofErr w:type="spellStart"/>
            <w:r w:rsidR="00F517E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best-practice</w:t>
            </w:r>
            <w:proofErr w:type="spellEnd"/>
            <w:r w:rsidR="00F517E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400A0" w:rsidRPr="00310D9D">
              <w:rPr>
                <w:rFonts w:asciiTheme="minorHAnsi" w:hAnsiTheme="minorHAnsi" w:cstheme="minorHAnsi"/>
                <w:sz w:val="22"/>
                <w:szCs w:val="22"/>
              </w:rPr>
              <w:t>poskytovatele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ABDF138" w14:textId="77777777" w:rsidR="004D4472" w:rsidRPr="00310D9D" w:rsidRDefault="004D4472" w:rsidP="004D4472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přidávání nových zařízení,</w:t>
            </w:r>
          </w:p>
          <w:p w14:paraId="5BE03CB9" w14:textId="5C78F7DB" w:rsidR="004D4472" w:rsidRPr="00310D9D" w:rsidRDefault="004D4472" w:rsidP="004D4472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vytváření nových scénářů pro detekci,</w:t>
            </w:r>
          </w:p>
          <w:p w14:paraId="52D3A16E" w14:textId="45D10B6B" w:rsidR="004D4472" w:rsidRPr="00310D9D" w:rsidRDefault="004D4472" w:rsidP="00B82E71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úprava nastavení nástrojů</w:t>
            </w:r>
            <w:r w:rsidR="00B82E71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dle požadavku </w:t>
            </w:r>
            <w:r w:rsidR="000400A0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B82E71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 nebo NÚKIB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BE4DA98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6AE2D244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center"/>
          </w:tcPr>
          <w:p w14:paraId="378C253D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67" w:type="dxa"/>
            </w:tcMar>
            <w:vAlign w:val="center"/>
          </w:tcPr>
          <w:p w14:paraId="167D55C0" w14:textId="74657940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b/>
              </w:rPr>
              <w:t>Požadovaná podpora SOC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67" w:type="dxa"/>
            </w:tcMar>
          </w:tcPr>
          <w:p w14:paraId="614F7041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4D4472" w:rsidRPr="00310D9D" w14:paraId="0BA9E7DA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A10DEF" w14:textId="57D25B61" w:rsidR="004D4472" w:rsidRPr="00310D9D" w:rsidRDefault="00A72623" w:rsidP="004D4472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29</w:t>
            </w:r>
            <w:r w:rsidR="00545F64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10A06F81" w14:textId="5A188CF1" w:rsidR="004D4472" w:rsidRPr="00310D9D" w:rsidRDefault="0068764C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Ticketovací</w:t>
            </w:r>
            <w:proofErr w:type="spellEnd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4472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systém</w:t>
            </w:r>
            <w:r w:rsidR="004D4472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D4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– služba </w:t>
            </w:r>
            <w:r w:rsidR="004D4472" w:rsidRPr="00310D9D">
              <w:rPr>
                <w:rFonts w:asciiTheme="minorHAnsi" w:hAnsiTheme="minorHAnsi" w:cstheme="minorHAnsi"/>
                <w:sz w:val="22"/>
                <w:szCs w:val="22"/>
              </w:rPr>
              <w:t>s on-line přístupem pro kompletní správu požadavků</w:t>
            </w:r>
            <w:r w:rsidR="00115785" w:rsidRPr="00310D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472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včetně uchování historie požadavků a jejich řešení.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5E26E11" w14:textId="77777777" w:rsidR="004D4472" w:rsidRPr="00310D9D" w:rsidRDefault="004D4472" w:rsidP="004D4472">
            <w:pPr>
              <w:rPr>
                <w:rFonts w:asciiTheme="minorHAnsi" w:hAnsiTheme="minorHAnsi" w:cstheme="minorHAnsi"/>
              </w:rPr>
            </w:pPr>
          </w:p>
        </w:tc>
      </w:tr>
      <w:tr w:rsidR="0068764C" w:rsidRPr="00310D9D" w14:paraId="0C37B56D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983F11" w14:textId="79871F4D" w:rsidR="0068764C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30</w:t>
            </w:r>
            <w:r w:rsidR="00545F64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5B82B45" w14:textId="7DA704D7" w:rsidR="0068764C" w:rsidRPr="00310D9D" w:rsidRDefault="0068764C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Přístup </w:t>
            </w:r>
            <w:r w:rsidR="00565B8C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115785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</w:t>
            </w:r>
            <w:r w:rsidR="0011578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k podpoře </w:t>
            </w:r>
            <w:r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provozu </w:t>
            </w:r>
            <w:r w:rsidR="00565B8C"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>systémů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>HotLine</w:t>
            </w:r>
            <w:proofErr w:type="spellEnd"/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560C379" w14:textId="77777777" w:rsidR="0068764C" w:rsidRPr="00310D9D" w:rsidRDefault="0068764C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68764C" w:rsidRPr="00310D9D" w14:paraId="24D70C2D" w14:textId="77777777" w:rsidTr="00952384">
        <w:trPr>
          <w:trHeight w:val="5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EDB299" w14:textId="0C9BB4DF" w:rsidR="0068764C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31</w:t>
            </w:r>
            <w:r w:rsidR="00545F64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61E9789D" w14:textId="1B5505D3" w:rsidR="0068764C" w:rsidRPr="00310D9D" w:rsidRDefault="0068764C" w:rsidP="00333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Přístup </w:t>
            </w:r>
            <w:r w:rsidR="00565B8C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115785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adavatele</w:t>
            </w:r>
            <w:r w:rsidR="0011578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k podpoře </w:t>
            </w:r>
            <w:r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>Incident Response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="00115785" w:rsidRPr="00310D9D">
              <w:rPr>
                <w:rFonts w:asciiTheme="minorHAnsi" w:hAnsiTheme="minorHAnsi" w:cstheme="minorHAnsi"/>
                <w:sz w:val="22"/>
                <w:szCs w:val="22"/>
              </w:rPr>
              <w:t>HotLine</w:t>
            </w:r>
            <w:proofErr w:type="spellEnd"/>
            <w:r w:rsidR="0011578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3330D0" w:rsidRPr="00310D9D">
              <w:rPr>
                <w:rFonts w:asciiTheme="minorHAnsi" w:hAnsiTheme="minorHAnsi" w:cstheme="minorHAnsi"/>
                <w:sz w:val="22"/>
                <w:szCs w:val="22"/>
              </w:rPr>
              <w:t>/ email</w:t>
            </w:r>
            <w:r w:rsidR="0011578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na členy CSIRT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54C5017D" w14:textId="77777777" w:rsidR="0068764C" w:rsidRPr="00310D9D" w:rsidRDefault="0068764C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7ECD681B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9BD021" w14:textId="43A91B3A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32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28C3B16" w14:textId="3804CB84" w:rsidR="00F95EE5" w:rsidRPr="00310D9D" w:rsidRDefault="00F95EE5" w:rsidP="002A6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Zakládání tiketů, proaktivní komunikace o jejich řešení. Komunikace s třetí stranou jako NBÚ, NÚKIB, kooperující 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>CSIRT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atd.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8C37E33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2C220382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198E84" w14:textId="54480016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33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07D4B80" w14:textId="237349D5" w:rsidR="00F95EE5" w:rsidRPr="00310D9D" w:rsidRDefault="00F95EE5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Přístup </w:t>
            </w:r>
            <w:r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administrátorů </w:t>
            </w:r>
            <w:r w:rsidR="00565B8C"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>adavatele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ke sledovaným parametrům služby prostřednictvím grafického rozhraní (GUI – dashboard apod.), alespoň v režimu čtení nebo v přístupové roli </w:t>
            </w:r>
            <w:r w:rsidRPr="00310D9D">
              <w:rPr>
                <w:rFonts w:asciiTheme="minorHAnsi" w:hAnsiTheme="minorHAnsi" w:cstheme="minorHAnsi"/>
                <w:i/>
                <w:sz w:val="22"/>
                <w:szCs w:val="22"/>
              </w:rPr>
              <w:t>Auditor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1C63669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04483F0D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2AF78E" w14:textId="1EF08321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34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3267D47C" w14:textId="73603909" w:rsidR="00F95EE5" w:rsidRPr="00310D9D" w:rsidRDefault="00F95EE5" w:rsidP="00AD0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Notifikace/</w:t>
            </w:r>
            <w:r w:rsidR="00565B8C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Eskalace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Informování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odpovědných osob 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 o vzniku bezpečnostního incidentu v reálném čase za pomocí základních komunikačních nástrojů (mail / SMS / telefon).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544F60FA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5F59127B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C6B13F" w14:textId="6BC740CF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35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4F8AA669" w14:textId="46AE1304" w:rsidR="00F95EE5" w:rsidRPr="00310D9D" w:rsidRDefault="00F95EE5" w:rsidP="00CF4D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Vulnerability management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kontinuálního skenování aktiv 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 definovaných danou sítí/sítěmi a zranitelností relevantních pro daná aktiva. Minimálně na začátku poskytování služby budou provedeny plné skeny a dále vždy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1x měsíčně skeny rozdílové.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51EF2E6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32300279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110BBA" w14:textId="764F7E3D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36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3BFB9FC2" w14:textId="310DF905" w:rsidR="00F95EE5" w:rsidRPr="00310D9D" w:rsidRDefault="00F95EE5" w:rsidP="002731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Vulnerability </w:t>
            </w:r>
            <w:r w:rsidR="00565B8C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management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Relevance</w:t>
            </w:r>
            <w:r w:rsidRPr="00310D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zranitelnosti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U aktiv musí být ověřena relevantnost incidentů pro dané aktivum vulnerability scannerem.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3F2CBBDE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52B889BD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DB3063" w14:textId="1213A123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37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40DC07D4" w14:textId="63D7F90B" w:rsidR="00F95EE5" w:rsidRPr="00310D9D" w:rsidRDefault="00EB7122" w:rsidP="00DA44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Reporty – Rozšířený</w:t>
            </w:r>
            <w:r w:rsidR="00F95EE5" w:rsidRPr="00310D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reporting</w:t>
            </w:r>
            <w:r w:rsidR="00F95EE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detailní report o událostech a incidentech s návrhy systematických opatření 1x měsíčně. Vzdálená prezentace reportu, např. formou videokonference. </w:t>
            </w:r>
            <w:r w:rsidR="00F95EE5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Prezentace měsíčních reportů v rozsahu min. 30 minut - max. </w:t>
            </w:r>
            <w:r w:rsidR="008C6234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F95EE5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hod.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54251CE4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0B953F69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31315E" w14:textId="595EFD36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38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C3FD929" w14:textId="20223245" w:rsidR="00F95EE5" w:rsidRPr="00310D9D" w:rsidRDefault="00EB7122" w:rsidP="005A4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Reporty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on</w:t>
            </w:r>
            <w:r w:rsidR="00F95EE5" w:rsidRPr="00310D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</w:t>
            </w:r>
            <w:proofErr w:type="spellStart"/>
            <w:r w:rsidR="00F95EE5" w:rsidRPr="00310D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demand</w:t>
            </w:r>
            <w:proofErr w:type="spellEnd"/>
            <w:r w:rsidR="00F95EE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provádění on-</w:t>
            </w:r>
            <w:proofErr w:type="spellStart"/>
            <w:r w:rsidR="00F95EE5" w:rsidRPr="00310D9D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F95EE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spouštění některých pravidel a z výstupu bude vytvářet reporty.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87AD6F5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5101D4B0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D73BCC" w14:textId="6EA2C4EC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39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5225FB9" w14:textId="757C43DD" w:rsidR="00F95EE5" w:rsidRPr="00310D9D" w:rsidRDefault="00F95EE5" w:rsidP="005A4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Reporty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310D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Standard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poskytovatel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v rámci služby zpracuje a poskytne </w:t>
            </w:r>
            <w:r w:rsidR="00565B8C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adavateli každý měsíc Report, ve kterém je popsáno:</w:t>
            </w:r>
          </w:p>
          <w:p w14:paraId="12BEFD8C" w14:textId="77777777" w:rsidR="00F95EE5" w:rsidRPr="00310D9D" w:rsidRDefault="00F95EE5" w:rsidP="005A4A18">
            <w:pPr>
              <w:pStyle w:val="Odstavecseseznamem"/>
              <w:numPr>
                <w:ilvl w:val="0"/>
                <w:numId w:val="28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průběh realizace Plnění služby za uplynulé období;</w:t>
            </w:r>
          </w:p>
          <w:p w14:paraId="2699427C" w14:textId="60986669" w:rsidR="00F95EE5" w:rsidRPr="00310D9D" w:rsidRDefault="00F95EE5" w:rsidP="005559AE">
            <w:pPr>
              <w:pStyle w:val="Odstavecseseznamem"/>
              <w:numPr>
                <w:ilvl w:val="0"/>
                <w:numId w:val="28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provedené služby za uplynulé období; </w:t>
            </w:r>
          </w:p>
          <w:p w14:paraId="671DA838" w14:textId="60C20294" w:rsidR="00F95EE5" w:rsidRPr="00310D9D" w:rsidRDefault="00F95EE5" w:rsidP="004B7EA6">
            <w:pPr>
              <w:pStyle w:val="Odstavecseseznamem"/>
              <w:numPr>
                <w:ilvl w:val="0"/>
                <w:numId w:val="28"/>
              </w:numPr>
              <w:ind w:left="374"/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návrh doporučených opatření pro další období pro zvýšení bezpečnosti, dostupnosti a v prevenci eliminace incidentů.</w:t>
            </w:r>
            <w:r w:rsidRPr="00310D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7CB6580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07D44E8A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8826F9" w14:textId="79904BF5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40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6DEAF8A5" w14:textId="5FDA0390" w:rsidR="00F95EE5" w:rsidRPr="00310D9D" w:rsidRDefault="00F95EE5" w:rsidP="008B7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Technologie sběru dat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užití nástroje SIEM a nástroje Flowmon v majetku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 jako základního zdroje dat a bude s ním komunikovat průmyslově standardními protokoly. </w:t>
            </w:r>
          </w:p>
          <w:p w14:paraId="3974C9FC" w14:textId="02F86B99" w:rsidR="00F95EE5" w:rsidRPr="00310D9D" w:rsidRDefault="00F95EE5" w:rsidP="00CE2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Navrhované řešení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poskytovatele služby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A07A0C4" w14:textId="3CA7F8A3" w:rsidR="00F95EE5" w:rsidRPr="00310D9D" w:rsidRDefault="00F95EE5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zajištuje na straně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 sběr, přenos a uložení logů a jejich vyhodnocování v rámci nástroje SIEM Zadavatele. Případný SIEM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poskytovatele služby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plní roli Federativní komponenty k výkonu Operátorské činnosti v rámci služby SOC.</w:t>
            </w:r>
          </w:p>
          <w:p w14:paraId="624BE155" w14:textId="7A21B480" w:rsidR="00F95EE5" w:rsidRDefault="00F95EE5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zajištuje na straně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 sběr a vyhodnocení NetFlow v rámci nástroje Flowmon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</w:t>
            </w:r>
            <w:r w:rsid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B62D2C" w14:textId="385AC9DF" w:rsidR="00310D9D" w:rsidRPr="00310D9D" w:rsidRDefault="00310D9D" w:rsidP="00310D9D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zajištuje na straně zadavatele sběr a vyhodnocení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logů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v rámci nástroje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LOGmanager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zadavatele.</w:t>
            </w:r>
          </w:p>
          <w:p w14:paraId="7A169745" w14:textId="4CACCAC8" w:rsidR="00310D9D" w:rsidRPr="00310D9D" w:rsidRDefault="00310D9D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Zajišťuje na straně zadavatele viditelnost nových a stávajících síťových prvků v rámci nástroje AddNet</w:t>
            </w:r>
          </w:p>
          <w:p w14:paraId="4476C375" w14:textId="7A01C5BB" w:rsidR="00F95EE5" w:rsidRPr="00310D9D" w:rsidRDefault="00F95EE5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je schopno regulovat zatížení přenosové linky (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Bandwidth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throttling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) podle specifikace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 (minimum 500kbs, maximum 4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Mbs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)., jak na vstupu, tak na výstupu VPN/</w:t>
            </w:r>
            <w:proofErr w:type="gram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gram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ze strany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  <w:p w14:paraId="5C10AE8B" w14:textId="5A218F7E" w:rsidR="00F95EE5" w:rsidRPr="00310D9D" w:rsidRDefault="00F95EE5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má na své straně služby ve svém komunikačním bodu zařazen VPN akcelerátor.</w:t>
            </w:r>
          </w:p>
          <w:p w14:paraId="0C8540F2" w14:textId="6BE2DA75" w:rsidR="00F95EE5" w:rsidRPr="00310D9D" w:rsidRDefault="00F95EE5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má na své straně služby ve svém komunikačním bodu </w:t>
            </w:r>
            <w:proofErr w:type="gram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gram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zařazenu komponentu „DDoS pračku“.</w:t>
            </w:r>
          </w:p>
          <w:p w14:paraId="01F759DC" w14:textId="3ECF81D6" w:rsidR="00F95EE5" w:rsidRPr="00310D9D" w:rsidRDefault="00F95EE5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má interní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storage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prostor na konektivitě v propustnosti minimálně 1Gb s využitím VPN v redundantní konfiguraci.</w:t>
            </w:r>
          </w:p>
          <w:p w14:paraId="2FF4127B" w14:textId="25214269" w:rsidR="00F95EE5" w:rsidRPr="00310D9D" w:rsidRDefault="00F95EE5" w:rsidP="00423C27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má disponibilně volný interní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storage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prostor v objemu </w:t>
            </w:r>
            <w:r w:rsidR="00D36EDA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20TB.</w:t>
            </w:r>
          </w:p>
          <w:p w14:paraId="574C0602" w14:textId="215F11BF" w:rsidR="00F95EE5" w:rsidRPr="00310D9D" w:rsidRDefault="00F95EE5" w:rsidP="00D530BC">
            <w:pPr>
              <w:pStyle w:val="Odstavecseseznamem"/>
              <w:numPr>
                <w:ilvl w:val="0"/>
                <w:numId w:val="30"/>
              </w:numPr>
              <w:ind w:left="374"/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umí detekovat nové nebo dosud neznámé log data či transakční záznamy, a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identifikovat jejich relevanci k provozní nebo bezpečnostní kategorii u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A8F559E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651F633A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98D362" w14:textId="3129CADD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41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DF220EF" w14:textId="63CE7675" w:rsidR="00F95EE5" w:rsidRPr="00310D9D" w:rsidRDefault="00F95EE5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Base line analýza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porovnání neobvyklých počtů určitých událostí oproti jinému období z minulosti.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3CE62B7E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106F04A6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E587D1" w14:textId="6F3E4DAC" w:rsidR="00F95EE5" w:rsidRPr="00310D9D" w:rsidRDefault="00F95EE5" w:rsidP="00A72623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</w:t>
            </w:r>
            <w:r w:rsidR="00A72623" w:rsidRPr="00310D9D">
              <w:rPr>
                <w:rFonts w:asciiTheme="minorHAnsi" w:hAnsiTheme="minorHAnsi" w:cstheme="minorHAnsi"/>
              </w:rPr>
              <w:t>2</w:t>
            </w:r>
            <w:r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8D0E2C0" w14:textId="77777777" w:rsidR="00F95EE5" w:rsidRPr="00310D9D" w:rsidRDefault="00F95EE5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Členění aktiv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Aktiva musí:</w:t>
            </w:r>
          </w:p>
          <w:p w14:paraId="479E6B0D" w14:textId="33ADA3F5" w:rsidR="00F95EE5" w:rsidRPr="00310D9D" w:rsidRDefault="00F95EE5" w:rsidP="00AF529E">
            <w:pPr>
              <w:pStyle w:val="Odstavecseseznamem"/>
              <w:numPr>
                <w:ilvl w:val="0"/>
                <w:numId w:val="29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být možno rozdělit:</w:t>
            </w:r>
          </w:p>
          <w:p w14:paraId="4ACDC730" w14:textId="271C7A6B" w:rsidR="00F95EE5" w:rsidRPr="00310D9D" w:rsidRDefault="00F95EE5" w:rsidP="00AF529E">
            <w:pPr>
              <w:pStyle w:val="Odstavecseseznamem"/>
              <w:numPr>
                <w:ilvl w:val="1"/>
                <w:numId w:val="29"/>
              </w:numPr>
              <w:ind w:left="657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podle jejich důležitosti v procesech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adavatele; </w:t>
            </w:r>
          </w:p>
          <w:p w14:paraId="7737553A" w14:textId="48E3B385" w:rsidR="00F95EE5" w:rsidRPr="00310D9D" w:rsidRDefault="00F95EE5" w:rsidP="00AF529E">
            <w:pPr>
              <w:pStyle w:val="Odstavecseseznamem"/>
              <w:numPr>
                <w:ilvl w:val="1"/>
                <w:numId w:val="29"/>
              </w:numPr>
              <w:ind w:left="657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podle typu a povahy generování dat:</w:t>
            </w:r>
          </w:p>
          <w:p w14:paraId="784E8FAA" w14:textId="332CAC05" w:rsidR="00F95EE5" w:rsidRPr="00310D9D" w:rsidRDefault="00F95EE5" w:rsidP="006A358E">
            <w:pPr>
              <w:pStyle w:val="Odstavecseseznamem"/>
              <w:numPr>
                <w:ilvl w:val="2"/>
                <w:numId w:val="29"/>
              </w:numPr>
              <w:ind w:left="941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Log </w:t>
            </w:r>
            <w:r w:rsidR="00727926" w:rsidRPr="00310D9D">
              <w:rPr>
                <w:rFonts w:asciiTheme="minorHAnsi" w:hAnsiTheme="minorHAnsi" w:cstheme="minorHAnsi"/>
                <w:sz w:val="22"/>
                <w:szCs w:val="22"/>
              </w:rPr>
              <w:t>data na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struktuře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Syslog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přes UDP/TCP ve standardu IETF], </w:t>
            </w:r>
          </w:p>
          <w:p w14:paraId="20FD56C9" w14:textId="06C7E51C" w:rsidR="00F95EE5" w:rsidRPr="00310D9D" w:rsidRDefault="00F95EE5" w:rsidP="006A358E">
            <w:pPr>
              <w:pStyle w:val="Odstavecseseznamem"/>
              <w:numPr>
                <w:ilvl w:val="2"/>
                <w:numId w:val="29"/>
              </w:numPr>
              <w:ind w:left="941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NetFlow ve standardu IETF.</w:t>
            </w:r>
          </w:p>
          <w:p w14:paraId="15576E96" w14:textId="35C61EE8" w:rsidR="00F95EE5" w:rsidRPr="00310D9D" w:rsidRDefault="00F95EE5" w:rsidP="006A358E">
            <w:pPr>
              <w:pStyle w:val="Odstavecseseznamem"/>
              <w:numPr>
                <w:ilvl w:val="2"/>
                <w:numId w:val="29"/>
              </w:numPr>
              <w:ind w:left="941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SNMP ve standardu IETF.</w:t>
            </w:r>
          </w:p>
          <w:p w14:paraId="65335728" w14:textId="571232D8" w:rsidR="00F95EE5" w:rsidRPr="00310D9D" w:rsidRDefault="00F95EE5" w:rsidP="006A358E">
            <w:pPr>
              <w:pStyle w:val="Odstavecseseznamem"/>
              <w:numPr>
                <w:ilvl w:val="2"/>
                <w:numId w:val="29"/>
              </w:numPr>
              <w:ind w:left="941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Transakční záznamy – SIP, DNS, DHCP, FRAUD ve standardu IETF nebo dle požadavků zákona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eIDAS</w:t>
            </w:r>
            <w:proofErr w:type="spellEnd"/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nebo zákona o Spisové službě.</w:t>
            </w:r>
          </w:p>
          <w:p w14:paraId="0C9849F3" w14:textId="4CA17002" w:rsidR="00F95EE5" w:rsidRPr="00310D9D" w:rsidRDefault="00F95EE5" w:rsidP="00AF529E">
            <w:pPr>
              <w:pStyle w:val="Odstavecseseznamem"/>
              <w:numPr>
                <w:ilvl w:val="0"/>
                <w:numId w:val="29"/>
              </w:numPr>
              <w:ind w:lef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mít uživatelsky definovatelné kategorie a parametry podle požadavků </w:t>
            </w:r>
            <w:r w:rsidR="006778EB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4959ADD8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3A8AD1E2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2A0BD6" w14:textId="19FA58A7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43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C14D3F4" w14:textId="2CD8A3EA" w:rsidR="00F95EE5" w:rsidRPr="00310D9D" w:rsidRDefault="00F95EE5" w:rsidP="00D652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Kategorizace aktiv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jednotnou evidenci a vyhodnocení kategorie aktiv, podle povahy aktiva (viz bod 48.). Podle těchto kategorií bude </w:t>
            </w:r>
            <w:r w:rsidR="008874AC" w:rsidRPr="00310D9D">
              <w:rPr>
                <w:rFonts w:asciiTheme="minorHAnsi" w:hAnsiTheme="minorHAnsi" w:cstheme="minorHAnsi"/>
                <w:sz w:val="22"/>
                <w:szCs w:val="22"/>
              </w:rPr>
              <w:t>poskytovatel služby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utvářet další pravidla nebo reporty v prostředcích </w:t>
            </w:r>
            <w:r w:rsidR="008874AC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36140EDC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27B987F5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5323AC" w14:textId="1360A2AE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44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4B8C875A" w14:textId="3BC53CEC" w:rsidR="00F95EE5" w:rsidRPr="00310D9D" w:rsidRDefault="00F95EE5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Manuální </w:t>
            </w:r>
            <w:proofErr w:type="spellStart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parsovací</w:t>
            </w:r>
            <w:proofErr w:type="spellEnd"/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pravidla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generování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parsovacích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pravidel a reportů v prostředcích </w:t>
            </w:r>
            <w:r w:rsidR="008874AC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693169ED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68AA3CF0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8F225C" w14:textId="111ABC39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45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4225EFED" w14:textId="75760829" w:rsidR="00F95EE5" w:rsidRPr="00310D9D" w:rsidRDefault="00F95EE5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Historická korelace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ověření nového korelačního pravidla proti historickým datům.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44721C08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595799C4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B0984B" w14:textId="49C10017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46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BCF6497" w14:textId="7FEDFFD5" w:rsidR="00F95EE5" w:rsidRPr="00310D9D" w:rsidRDefault="00F95EE5" w:rsidP="00687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Služba Monitoring Privilegovaných </w:t>
            </w:r>
            <w:r w:rsidR="00AD5F0D"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účtů – Sdílené</w:t>
            </w:r>
            <w:r w:rsidRPr="00310D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účty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zajistí detekci užití privilegovaných přístupů pro konkrétního uživatele v systémech </w:t>
            </w:r>
            <w:r w:rsidR="00AD5F0D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4E52CB8C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792C1EBA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050DB8" w14:textId="21BA0FB1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47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2EC5125" w14:textId="380F4986" w:rsidR="00F95EE5" w:rsidRPr="00310D9D" w:rsidRDefault="00F95EE5" w:rsidP="004565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Režim Maintenance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Služba musí být schopna běhu v režimu údržby ohlášenou </w:t>
            </w:r>
            <w:r w:rsidR="00AD5F0D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adavatelem, kdy se údržbou dotčených zdrojů/aktiv nebudou vyhlašovat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alerty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5EF1B14F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3366FEF4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52FB7E" w14:textId="5321807E" w:rsidR="00F95EE5" w:rsidRPr="00310D9D" w:rsidRDefault="00A72623" w:rsidP="00532458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48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530DE98C" w14:textId="77777777" w:rsidR="00F95EE5" w:rsidRPr="00310D9D" w:rsidRDefault="00F95EE5" w:rsidP="00532458">
            <w:pPr>
              <w:pStyle w:val="Odstavecseseznamem"/>
              <w:ind w:hanging="69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Služba Monitoringu a detekce  </w:t>
            </w:r>
          </w:p>
          <w:p w14:paraId="57C57414" w14:textId="623D0A8F" w:rsidR="00F95EE5" w:rsidRPr="00310D9D" w:rsidRDefault="00F95EE5" w:rsidP="00532458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Průběžné sledování provozu prostředí </w:t>
            </w:r>
            <w:r w:rsidR="00AD5F0D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  <w:p w14:paraId="4D030366" w14:textId="77777777" w:rsidR="00F95EE5" w:rsidRPr="00310D9D" w:rsidRDefault="00F95EE5" w:rsidP="00532458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Real-time analýza situace v napojených zařízeních podle skupin, kategorií zařízení a podle kontextu log záznamů nebo událostí. </w:t>
            </w:r>
          </w:p>
          <w:p w14:paraId="07A63B9F" w14:textId="77777777" w:rsidR="00F95EE5" w:rsidRPr="00310D9D" w:rsidRDefault="00F95EE5" w:rsidP="00532458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2x denně odborné posouzení bezpečnostní situace a provozního stavu. V případě anomálie posouzení její relevance a závažnosti.</w:t>
            </w:r>
          </w:p>
          <w:p w14:paraId="5973D015" w14:textId="4F8A146D" w:rsidR="00F95EE5" w:rsidRPr="00310D9D" w:rsidRDefault="00F95EE5" w:rsidP="00532458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Posouzení kontextu anomálie a příčin vzniku situace s případnou eskalací problému </w:t>
            </w:r>
            <w:r w:rsidR="00AD5F0D" w:rsidRPr="00310D9D">
              <w:rPr>
                <w:rFonts w:asciiTheme="minorHAnsi" w:hAnsiTheme="minorHAnsi" w:cstheme="minorHAnsi"/>
                <w:sz w:val="22"/>
                <w:szCs w:val="22"/>
              </w:rPr>
              <w:t>zadavatele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na analytického specialistu </w:t>
            </w:r>
            <w:r w:rsidR="00AD5F0D" w:rsidRPr="00310D9D">
              <w:rPr>
                <w:rFonts w:asciiTheme="minorHAnsi" w:hAnsiTheme="minorHAnsi" w:cstheme="minorHAnsi"/>
                <w:sz w:val="22"/>
                <w:szCs w:val="22"/>
              </w:rPr>
              <w:t>poskytovatele služby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86E285" w14:textId="7FED5D7C" w:rsidR="00F95EE5" w:rsidRPr="00310D9D" w:rsidRDefault="00F95EE5" w:rsidP="00D249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BACE8AC" w14:textId="77777777" w:rsidR="00F95EE5" w:rsidRPr="00310D9D" w:rsidRDefault="00F95EE5" w:rsidP="00532458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2BB26C14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BBC119" w14:textId="76FBED2C" w:rsidR="00F95EE5" w:rsidRPr="00310D9D" w:rsidRDefault="00A72623" w:rsidP="00532458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49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3449629" w14:textId="77777777" w:rsidR="00F95EE5" w:rsidRPr="00310D9D" w:rsidRDefault="00F95EE5" w:rsidP="005324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Služba včasné výstrahy a reakce na nestandardní situace v provozu bezpečnostních systémů </w:t>
            </w:r>
          </w:p>
          <w:p w14:paraId="194179BD" w14:textId="77777777" w:rsidR="00F95EE5" w:rsidRPr="00310D9D" w:rsidRDefault="00F95EE5" w:rsidP="00532458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Zpracování analytických scénářů na aktuální kybernetické hrozby.</w:t>
            </w:r>
          </w:p>
          <w:p w14:paraId="7FE80F23" w14:textId="3864CD9A" w:rsidR="00F95EE5" w:rsidRPr="00310D9D" w:rsidRDefault="00F95EE5" w:rsidP="00532458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Posouzení eskalovaného problému Zadavatele</w:t>
            </w:r>
            <w:r w:rsidRPr="00310D9D" w:rsidDel="00385D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analytickým specialistou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Předkladatele.</w:t>
            </w:r>
          </w:p>
          <w:p w14:paraId="0499BCDC" w14:textId="77777777" w:rsidR="00F95EE5" w:rsidRPr="00310D9D" w:rsidRDefault="00F95EE5" w:rsidP="00532458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Detekce a vyhodnocení závažnosti identifikovaných anomálií.</w:t>
            </w:r>
          </w:p>
          <w:p w14:paraId="70EBC31B" w14:textId="3589F092" w:rsidR="00F95EE5" w:rsidRPr="00310D9D" w:rsidRDefault="00F95EE5" w:rsidP="00532458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Posouzení a případná eskalace nestandardní situace v provozu Zadavatele</w:t>
            </w:r>
            <w:r w:rsidRPr="00310D9D" w:rsidDel="00385D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na službu včasné výstrahy a reakce na incident v rámci bezpečnostních struktur ČR.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1FA8D9A6" w14:textId="77777777" w:rsidR="00F95EE5" w:rsidRPr="00310D9D" w:rsidRDefault="00F95EE5" w:rsidP="00532458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34FB650A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center"/>
          </w:tcPr>
          <w:p w14:paraId="1BE9E049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67" w:type="dxa"/>
            </w:tcMar>
            <w:vAlign w:val="center"/>
          </w:tcPr>
          <w:p w14:paraId="764E0903" w14:textId="6592B714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  <w:b/>
              </w:rPr>
              <w:t>SLA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67" w:type="dxa"/>
            </w:tcMar>
          </w:tcPr>
          <w:p w14:paraId="2ABCB6A5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F95EE5" w:rsidRPr="00310D9D" w14:paraId="7896E5C4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1FE732" w14:textId="40DACC2E" w:rsidR="00F95EE5" w:rsidRPr="00310D9D" w:rsidRDefault="00A72623" w:rsidP="0068764C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50</w:t>
            </w:r>
            <w:r w:rsidR="00F95EE5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6F52209" w14:textId="66599A09" w:rsidR="00F95EE5" w:rsidRPr="00310D9D" w:rsidRDefault="003A3CF9" w:rsidP="00306F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Poskytovatel služby</w:t>
            </w:r>
            <w:r w:rsidR="00F95EE5" w:rsidRPr="00310D9D" w:rsidDel="00306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EE5" w:rsidRPr="00310D9D">
              <w:rPr>
                <w:rFonts w:asciiTheme="minorHAnsi" w:hAnsiTheme="minorHAnsi" w:cstheme="minorHAnsi"/>
                <w:sz w:val="22"/>
                <w:szCs w:val="22"/>
              </w:rPr>
              <w:t>musí provozovat vlastní bezpečnostní dohledovou službu v režimu 24x7x365</w:t>
            </w:r>
            <w:r w:rsidR="00BA5B15" w:rsidRPr="00310D9D">
              <w:rPr>
                <w:rFonts w:asciiTheme="minorHAnsi" w:hAnsiTheme="minorHAnsi" w:cstheme="minorHAnsi"/>
                <w:sz w:val="22"/>
                <w:szCs w:val="22"/>
              </w:rPr>
              <w:t>, s minimální dostupností operátorů v pracovní dny od 6:00 do 22:00 hodin a s minimální dostupností Analytiků v pracovní dny od 9:00 do 17:00 hod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52787F1" w14:textId="77777777" w:rsidR="00F95EE5" w:rsidRPr="00310D9D" w:rsidRDefault="00F95EE5" w:rsidP="0068764C">
            <w:pPr>
              <w:rPr>
                <w:rFonts w:asciiTheme="minorHAnsi" w:hAnsiTheme="minorHAnsi" w:cstheme="minorHAnsi"/>
              </w:rPr>
            </w:pPr>
          </w:p>
        </w:tc>
      </w:tr>
      <w:tr w:rsidR="00952384" w:rsidRPr="00310D9D" w14:paraId="4A1FE5C8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BD2840" w14:textId="1B293545" w:rsidR="00952384" w:rsidRPr="00310D9D" w:rsidRDefault="00A72623" w:rsidP="00952384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51</w:t>
            </w:r>
            <w:r w:rsidR="00952384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312055E3" w14:textId="74B55C35" w:rsidR="00952384" w:rsidRPr="00310D9D" w:rsidRDefault="00952384" w:rsidP="0095238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Pro každý kybernetický incident (dle §7,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ZokB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) prochází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poskytovatel služby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následným postupem k určení kategorií kybernetických bezpečnostních incidentů (dle §31,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VoKB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) podle následků a negativních projevů pro doporučení opatření či součinnosti v následné reakci:</w:t>
            </w:r>
          </w:p>
          <w:p w14:paraId="408BBC28" w14:textId="77777777" w:rsidR="00952384" w:rsidRPr="00310D9D" w:rsidRDefault="00952384" w:rsidP="0095238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Fáze Detekce</w:t>
            </w:r>
          </w:p>
          <w:p w14:paraId="4BBE2A70" w14:textId="37D14ED6" w:rsidR="00952384" w:rsidRPr="00310D9D" w:rsidRDefault="00952384" w:rsidP="00952384">
            <w:pPr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Monitoring prostředí vymezeného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adavatelem. </w:t>
            </w:r>
          </w:p>
          <w:p w14:paraId="596EF7B5" w14:textId="30C4487E" w:rsidR="00952384" w:rsidRPr="00310D9D" w:rsidRDefault="00952384" w:rsidP="00952384">
            <w:pPr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Dohledování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bezpečnostní situace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  <w:p w14:paraId="1121BF9C" w14:textId="1513E255" w:rsidR="00952384" w:rsidRPr="00310D9D" w:rsidRDefault="00952384" w:rsidP="00952384">
            <w:pPr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Detekce anomálie – rozpoznání odchylky od běžného stavu nebo od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adavatelem normovaného stavu.</w:t>
            </w:r>
          </w:p>
          <w:p w14:paraId="2D82DB21" w14:textId="77777777" w:rsidR="00952384" w:rsidRPr="00310D9D" w:rsidRDefault="00952384" w:rsidP="0095238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6C089E1" w14:textId="313A8812" w:rsidR="00952384" w:rsidRPr="00310D9D" w:rsidRDefault="00952384" w:rsidP="0095238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Fáze Přiřazení</w:t>
            </w:r>
          </w:p>
          <w:p w14:paraId="33765E25" w14:textId="00188219" w:rsidR="00952384" w:rsidRPr="00310D9D" w:rsidRDefault="00952384" w:rsidP="00952384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Klasifikace </w:t>
            </w:r>
            <w:r w:rsidR="00727926" w:rsidRPr="00310D9D">
              <w:rPr>
                <w:rFonts w:asciiTheme="minorHAnsi" w:hAnsiTheme="minorHAnsi" w:cstheme="minorHAnsi"/>
                <w:sz w:val="22"/>
                <w:szCs w:val="22"/>
              </w:rPr>
              <w:t>anomálie – určení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závažnosti ve škále:</w:t>
            </w:r>
          </w:p>
          <w:p w14:paraId="5F069060" w14:textId="77777777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False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-Positive Alarm – způsobuje falešný alarm z důvodu:</w:t>
            </w:r>
          </w:p>
          <w:p w14:paraId="19DD9209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chyby v úsudku míry závažnosti anomálie; </w:t>
            </w:r>
          </w:p>
          <w:p w14:paraId="643830F8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nepřesnosti rozpoznání odchylky vzniklé při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dohledování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a monitoringu v předchozí fázi Detekce. </w:t>
            </w:r>
          </w:p>
          <w:p w14:paraId="5ABB81CB" w14:textId="1BF7F73C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Bezpečnostní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událost – anomálie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, která může způsobit narušení bezpečnosti:</w:t>
            </w:r>
          </w:p>
          <w:p w14:paraId="666F3192" w14:textId="7A1C8D2B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informací v informačních systémech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adavatele; </w:t>
            </w:r>
          </w:p>
          <w:p w14:paraId="52CD8C4C" w14:textId="79D705CB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služeb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adavatele; </w:t>
            </w:r>
          </w:p>
          <w:p w14:paraId="328C2CC8" w14:textId="0F0D1E2A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 integrity datových sítí </w:t>
            </w:r>
            <w:r w:rsidR="00727926" w:rsidRPr="00310D9D">
              <w:rPr>
                <w:rFonts w:asciiTheme="minorHAnsi" w:hAnsiTheme="minorHAnsi" w:cstheme="minorHAnsi"/>
                <w:sz w:val="22"/>
                <w:szCs w:val="22"/>
              </w:rPr>
              <w:t>zadavatele.</w:t>
            </w:r>
          </w:p>
          <w:p w14:paraId="469EC115" w14:textId="77777777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Bezpečnostní incident – anomálie, která narušila či narušuje bezpečnost:</w:t>
            </w:r>
          </w:p>
          <w:p w14:paraId="536226F5" w14:textId="216CB1C0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informací v informačních systémech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adavatele; </w:t>
            </w:r>
          </w:p>
          <w:p w14:paraId="777D6728" w14:textId="2EFD9B4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služeb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adavatele; </w:t>
            </w:r>
          </w:p>
          <w:p w14:paraId="20EB67CA" w14:textId="2FEF6C65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 integritu datových sítí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 nebo jiných subjektů.</w:t>
            </w:r>
          </w:p>
          <w:p w14:paraId="01F96669" w14:textId="77777777" w:rsidR="00952384" w:rsidRPr="00310D9D" w:rsidRDefault="00952384" w:rsidP="0095238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Fáze Analýza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DA7C32" w14:textId="77777777" w:rsidR="00952384" w:rsidRPr="00310D9D" w:rsidRDefault="00952384" w:rsidP="00952384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Vyhodnocení anomálie – vyhodnocení relevance:</w:t>
            </w:r>
          </w:p>
          <w:p w14:paraId="73DB70E4" w14:textId="11F0732C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k systémům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adavatele;</w:t>
            </w:r>
          </w:p>
          <w:p w14:paraId="4486CCCB" w14:textId="379D7766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k procesům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adavatele;</w:t>
            </w:r>
          </w:p>
          <w:p w14:paraId="026B6C3B" w14:textId="567525EA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k zákonným normám ČR vztažených na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adavatele.</w:t>
            </w:r>
          </w:p>
          <w:p w14:paraId="6E23B6CC" w14:textId="11E16267" w:rsidR="00952384" w:rsidRPr="00310D9D" w:rsidRDefault="00952384" w:rsidP="00952384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Klasifikace incidentu – začlenění incidentu do bezpečnostního typu kategorie dle určení </w:t>
            </w:r>
            <w:r w:rsidR="003A3CF9" w:rsidRPr="00310D9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adavatelem nebo dle §30, </w:t>
            </w:r>
            <w:proofErr w:type="spellStart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VoKB</w:t>
            </w:r>
            <w:proofErr w:type="spellEnd"/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B28A61F" w14:textId="77777777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Podle příčiny:</w:t>
            </w:r>
          </w:p>
          <w:p w14:paraId="1179E754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incident způsobený kybernetickým útokem nebo jinou událostí vedoucí k průniku do systému nebo k omezení dostupnosti služeb;</w:t>
            </w:r>
          </w:p>
          <w:p w14:paraId="0CAC42EE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incident způsobený škodlivým kódem;</w:t>
            </w:r>
          </w:p>
          <w:p w14:paraId="47906DE4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incident způsobený překonáním technických opatření;</w:t>
            </w:r>
          </w:p>
          <w:p w14:paraId="0AD49DF8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incident způsobený porušením organizačních opatření;</w:t>
            </w:r>
          </w:p>
          <w:p w14:paraId="19BCFA47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incident spojený s projevem trvale působících hrozeb;</w:t>
            </w:r>
          </w:p>
          <w:p w14:paraId="01DA3EB4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ostatní incidenty způsobené kybernetickým útokem.</w:t>
            </w:r>
          </w:p>
          <w:p w14:paraId="2CA428C1" w14:textId="77777777" w:rsidR="00952384" w:rsidRPr="00310D9D" w:rsidRDefault="00952384" w:rsidP="00952384">
            <w:pPr>
              <w:numPr>
                <w:ilvl w:val="1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Podle dopadu:</w:t>
            </w:r>
          </w:p>
          <w:p w14:paraId="30BC31C8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incident způsobující narušení důvěrnosti aktiv;</w:t>
            </w:r>
          </w:p>
          <w:p w14:paraId="3ECEA2F1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incident způsobující narušení integrity aktiv;</w:t>
            </w:r>
          </w:p>
          <w:p w14:paraId="184DD6DD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incident způsobující narušení dostupnosti aktiv; </w:t>
            </w:r>
          </w:p>
          <w:p w14:paraId="7D38918E" w14:textId="77777777" w:rsidR="00952384" w:rsidRPr="00310D9D" w:rsidRDefault="00952384" w:rsidP="00952384">
            <w:pPr>
              <w:numPr>
                <w:ilvl w:val="2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incident způsobující kombinaci výše uvedených dopadů.</w:t>
            </w:r>
          </w:p>
          <w:p w14:paraId="7E34FA68" w14:textId="1375558A" w:rsidR="00952384" w:rsidRPr="00310D9D" w:rsidRDefault="00952384" w:rsidP="00952384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>Kategorizace incidentu – začlenění incidentu podle významnosti.</w:t>
            </w:r>
          </w:p>
          <w:p w14:paraId="5CBE0FB7" w14:textId="77777777" w:rsidR="00952384" w:rsidRPr="00310D9D" w:rsidRDefault="00952384" w:rsidP="0095238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26DD20D" w14:textId="77777777" w:rsidR="00952384" w:rsidRPr="00310D9D" w:rsidRDefault="00952384" w:rsidP="00952384">
            <w:pPr>
              <w:rPr>
                <w:rFonts w:asciiTheme="minorHAnsi" w:hAnsiTheme="minorHAnsi" w:cstheme="minorHAnsi"/>
              </w:rPr>
            </w:pPr>
          </w:p>
        </w:tc>
      </w:tr>
      <w:tr w:rsidR="00952384" w:rsidRPr="00310D9D" w14:paraId="1089EEA5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3F51F0" w14:textId="3B51F86B" w:rsidR="00952384" w:rsidRPr="00310D9D" w:rsidRDefault="00A72623" w:rsidP="00952384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52</w:t>
            </w:r>
            <w:r w:rsidR="00952384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B3733FD" w14:textId="6E9F9C34" w:rsidR="00952384" w:rsidRPr="00310D9D" w:rsidRDefault="00952384" w:rsidP="009523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Kategorie III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do 30 </w:t>
            </w:r>
            <w:r w:rsidR="00A8236B" w:rsidRPr="00310D9D">
              <w:rPr>
                <w:rFonts w:asciiTheme="minorHAnsi" w:hAnsiTheme="minorHAnsi" w:cstheme="minorHAnsi"/>
                <w:sz w:val="22"/>
                <w:szCs w:val="22"/>
              </w:rPr>
              <w:t>minut – velmi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závažný kybernetický bezpečnostní incident, při kterém je přímo a významně narušena bezpečnost poskytovaných služeb nebo aktiv. Jeho řešení vyžaduje neprodlené zásahy obsluhy s tím, že musí být všemi dostupnými prostředky zabráněno dalšímu šíření kybernetického bezpečnostního incidentu, včetně minimalizace vzniklých i potenciálních škod.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FD2358A" w14:textId="77777777" w:rsidR="00952384" w:rsidRPr="00310D9D" w:rsidRDefault="00952384" w:rsidP="00952384">
            <w:pPr>
              <w:rPr>
                <w:rFonts w:asciiTheme="minorHAnsi" w:hAnsiTheme="minorHAnsi" w:cstheme="minorHAnsi"/>
              </w:rPr>
            </w:pPr>
          </w:p>
        </w:tc>
      </w:tr>
      <w:tr w:rsidR="00952384" w:rsidRPr="00310D9D" w14:paraId="2953A8D3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94E7D7" w14:textId="6C91F4AC" w:rsidR="00952384" w:rsidRPr="00310D9D" w:rsidRDefault="00A72623" w:rsidP="00952384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53</w:t>
            </w:r>
            <w:r w:rsidR="00952384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698EE9E9" w14:textId="7764E946" w:rsidR="00952384" w:rsidRPr="00310D9D" w:rsidRDefault="00952384" w:rsidP="009523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Kategorie II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2 </w:t>
            </w:r>
            <w:r w:rsidR="00A8236B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hodin – závažný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kybernetický bezpečnostní incident, při kterém je narušena bezpečnost poskytovaných služeb nebo aktiv. Jeho řešení vyžaduje neprodlené zásahy obsluhy s tím, že musí být vhodnými prostředky zabráněno dalšímu šíření kybernetického incidentu včetně minimalizace vzniklých škod.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AB08270" w14:textId="77777777" w:rsidR="00952384" w:rsidRPr="00310D9D" w:rsidRDefault="00952384" w:rsidP="00952384">
            <w:pPr>
              <w:rPr>
                <w:rFonts w:asciiTheme="minorHAnsi" w:hAnsiTheme="minorHAnsi" w:cstheme="minorHAnsi"/>
              </w:rPr>
            </w:pPr>
          </w:p>
        </w:tc>
      </w:tr>
      <w:tr w:rsidR="00952384" w:rsidRPr="00310D9D" w14:paraId="085A07FA" w14:textId="77777777" w:rsidTr="00952384">
        <w:trPr>
          <w:trHeight w:val="173"/>
        </w:trPr>
        <w:tc>
          <w:tcPr>
            <w:tcW w:w="6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807E8C" w14:textId="1B70D3D1" w:rsidR="00952384" w:rsidRPr="00310D9D" w:rsidRDefault="00A72623" w:rsidP="00952384">
            <w:pPr>
              <w:rPr>
                <w:rFonts w:asciiTheme="minorHAnsi" w:hAnsiTheme="minorHAnsi" w:cstheme="minorHAnsi"/>
              </w:rPr>
            </w:pPr>
            <w:r w:rsidRPr="00310D9D">
              <w:rPr>
                <w:rFonts w:asciiTheme="minorHAnsi" w:hAnsiTheme="minorHAnsi" w:cstheme="minorHAnsi"/>
              </w:rPr>
              <w:t>54</w:t>
            </w:r>
            <w:r w:rsidR="00952384" w:rsidRPr="00310D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218376CF" w14:textId="0609EB30" w:rsidR="00952384" w:rsidRPr="00310D9D" w:rsidRDefault="00952384" w:rsidP="009523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9D">
              <w:rPr>
                <w:rFonts w:asciiTheme="minorHAnsi" w:hAnsiTheme="minorHAnsi" w:cstheme="minorHAnsi"/>
                <w:b/>
                <w:sz w:val="22"/>
                <w:szCs w:val="22"/>
              </w:rPr>
              <w:t>Kategorie I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24 </w:t>
            </w:r>
            <w:r w:rsidR="00A8236B" w:rsidRPr="00310D9D">
              <w:rPr>
                <w:rFonts w:asciiTheme="minorHAnsi" w:hAnsiTheme="minorHAnsi" w:cstheme="minorHAnsi"/>
                <w:bCs/>
                <w:sz w:val="22"/>
                <w:szCs w:val="22"/>
              </w:rPr>
              <w:t>hodin – méně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závažný kybernetický bezpečnostní incident, při kterém dochází k méně významnému narušení bezpečnosti poskytovaných služeb nebo aktiv. Jeho řešení vyžaduje zásahy obsluhy s tím, že musí být vhodnými prostředky omezeno další šíření kybernetického bezpečnostního incidentu včetně minimalizace vzniklých škod. Jedná se</w:t>
            </w:r>
            <w:r w:rsidR="00BA5B15"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Pr="00310D9D">
              <w:rPr>
                <w:rFonts w:asciiTheme="minorHAnsi" w:hAnsiTheme="minorHAnsi" w:cstheme="minorHAnsi"/>
                <w:sz w:val="22"/>
                <w:szCs w:val="22"/>
              </w:rPr>
              <w:t xml:space="preserve"> bezpečnostní incidenty, které nespadají do kategorií III a II.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4B71B4A5" w14:textId="77777777" w:rsidR="00952384" w:rsidRPr="00310D9D" w:rsidRDefault="00952384" w:rsidP="00952384">
            <w:pPr>
              <w:rPr>
                <w:rFonts w:asciiTheme="minorHAnsi" w:hAnsiTheme="minorHAnsi" w:cstheme="minorHAnsi"/>
              </w:rPr>
            </w:pPr>
          </w:p>
        </w:tc>
      </w:tr>
    </w:tbl>
    <w:p w14:paraId="4C1595E3" w14:textId="04190A94" w:rsidR="009753A0" w:rsidRPr="00310D9D" w:rsidRDefault="009753A0" w:rsidP="00952384">
      <w:pPr>
        <w:rPr>
          <w:rFonts w:asciiTheme="minorHAnsi" w:hAnsiTheme="minorHAnsi" w:cstheme="minorHAnsi"/>
        </w:rPr>
      </w:pPr>
    </w:p>
    <w:p w14:paraId="53B55DFF" w14:textId="77777777" w:rsidR="008C6234" w:rsidRPr="00310D9D" w:rsidRDefault="008C6234" w:rsidP="00952384">
      <w:pPr>
        <w:rPr>
          <w:rFonts w:asciiTheme="minorHAnsi" w:hAnsiTheme="minorHAnsi" w:cstheme="minorHAnsi"/>
          <w:color w:val="00B0F0"/>
        </w:rPr>
      </w:pPr>
    </w:p>
    <w:p w14:paraId="0C8B4A1B" w14:textId="77777777" w:rsidR="009B093C" w:rsidRPr="00310D9D" w:rsidRDefault="009B093C" w:rsidP="00952384">
      <w:pPr>
        <w:rPr>
          <w:rFonts w:asciiTheme="minorHAnsi" w:hAnsiTheme="minorHAnsi" w:cstheme="minorHAnsi"/>
          <w:color w:val="00B0F0"/>
        </w:rPr>
      </w:pPr>
    </w:p>
    <w:sectPr w:rsidR="009B093C" w:rsidRPr="00310D9D" w:rsidSect="00952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F1F6" w14:textId="77777777" w:rsidR="000E3B18" w:rsidRDefault="000E3B18" w:rsidP="000B5C59">
      <w:pPr>
        <w:spacing w:line="240" w:lineRule="auto"/>
      </w:pPr>
      <w:r>
        <w:separator/>
      </w:r>
    </w:p>
  </w:endnote>
  <w:endnote w:type="continuationSeparator" w:id="0">
    <w:p w14:paraId="3ED7F237" w14:textId="77777777" w:rsidR="000E3B18" w:rsidRDefault="000E3B18" w:rsidP="000B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2846" w14:textId="77777777" w:rsidR="005D27DA" w:rsidRDefault="005D27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15F5" w14:textId="77777777" w:rsidR="005D27DA" w:rsidRDefault="005D27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8E25" w14:textId="77777777" w:rsidR="005D27DA" w:rsidRDefault="005D2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47B3" w14:textId="77777777" w:rsidR="000E3B18" w:rsidRDefault="000E3B18" w:rsidP="000B5C59">
      <w:pPr>
        <w:spacing w:line="240" w:lineRule="auto"/>
      </w:pPr>
      <w:r>
        <w:separator/>
      </w:r>
    </w:p>
  </w:footnote>
  <w:footnote w:type="continuationSeparator" w:id="0">
    <w:p w14:paraId="507F1D88" w14:textId="77777777" w:rsidR="000E3B18" w:rsidRDefault="000E3B18" w:rsidP="000B5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4D7F2" w14:textId="77777777" w:rsidR="005D27DA" w:rsidRDefault="005D2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7A50" w14:textId="77777777" w:rsidR="005D27DA" w:rsidRDefault="005D2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BFEE" w14:textId="77777777" w:rsidR="005D27DA" w:rsidRDefault="005D2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7BB"/>
    <w:multiLevelType w:val="hybridMultilevel"/>
    <w:tmpl w:val="CBE81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867"/>
    <w:multiLevelType w:val="multilevel"/>
    <w:tmpl w:val="FB84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AC37D14"/>
    <w:multiLevelType w:val="hybridMultilevel"/>
    <w:tmpl w:val="892AB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380"/>
    <w:multiLevelType w:val="hybridMultilevel"/>
    <w:tmpl w:val="99DC020E"/>
    <w:lvl w:ilvl="0" w:tplc="D7D21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BC9"/>
    <w:multiLevelType w:val="hybridMultilevel"/>
    <w:tmpl w:val="AB80B716"/>
    <w:lvl w:ilvl="0" w:tplc="D7D216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A6842"/>
    <w:multiLevelType w:val="hybridMultilevel"/>
    <w:tmpl w:val="0BEE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A52E0"/>
    <w:multiLevelType w:val="hybridMultilevel"/>
    <w:tmpl w:val="4072D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B6433"/>
    <w:multiLevelType w:val="hybridMultilevel"/>
    <w:tmpl w:val="19227F1C"/>
    <w:lvl w:ilvl="0" w:tplc="132C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263FA"/>
    <w:multiLevelType w:val="hybridMultilevel"/>
    <w:tmpl w:val="40820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AFC0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91128"/>
    <w:multiLevelType w:val="hybridMultilevel"/>
    <w:tmpl w:val="D8FC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5FCA"/>
    <w:multiLevelType w:val="hybridMultilevel"/>
    <w:tmpl w:val="48B6F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76AE0"/>
    <w:multiLevelType w:val="hybridMultilevel"/>
    <w:tmpl w:val="D8D6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3505D"/>
    <w:multiLevelType w:val="hybridMultilevel"/>
    <w:tmpl w:val="6EF0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7652A"/>
    <w:multiLevelType w:val="multilevel"/>
    <w:tmpl w:val="8752F4F6"/>
    <w:lvl w:ilvl="0">
      <w:start w:val="1"/>
      <w:numFmt w:val="decimal"/>
      <w:lvlText w:val="%1."/>
      <w:lvlJc w:val="left"/>
      <w:pPr>
        <w:ind w:left="1701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60" w:hanging="567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0" w:firstLine="0"/>
      </w:pPr>
      <w:rPr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134" w:firstLine="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00" w:hanging="1440"/>
      </w:pPr>
      <w:rPr>
        <w:rFonts w:cs="Times New Roman"/>
      </w:rPr>
    </w:lvl>
  </w:abstractNum>
  <w:abstractNum w:abstractNumId="14" w15:restartNumberingAfterBreak="0">
    <w:nsid w:val="2DB70FD2"/>
    <w:multiLevelType w:val="hybridMultilevel"/>
    <w:tmpl w:val="54EA2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678C"/>
    <w:multiLevelType w:val="hybridMultilevel"/>
    <w:tmpl w:val="7D3E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2109B"/>
    <w:multiLevelType w:val="hybridMultilevel"/>
    <w:tmpl w:val="A710A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427DE"/>
    <w:multiLevelType w:val="hybridMultilevel"/>
    <w:tmpl w:val="603EA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46F02"/>
    <w:multiLevelType w:val="hybridMultilevel"/>
    <w:tmpl w:val="E9F4BC7E"/>
    <w:lvl w:ilvl="0" w:tplc="D7D216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415F9"/>
    <w:multiLevelType w:val="hybridMultilevel"/>
    <w:tmpl w:val="488C800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18D0B24"/>
    <w:multiLevelType w:val="hybridMultilevel"/>
    <w:tmpl w:val="3322F1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36DAD"/>
    <w:multiLevelType w:val="hybridMultilevel"/>
    <w:tmpl w:val="B92C4700"/>
    <w:lvl w:ilvl="0" w:tplc="D7D216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0F2565"/>
    <w:multiLevelType w:val="hybridMultilevel"/>
    <w:tmpl w:val="9C0E3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64DE3"/>
    <w:multiLevelType w:val="hybridMultilevel"/>
    <w:tmpl w:val="66A2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41E31"/>
    <w:multiLevelType w:val="hybridMultilevel"/>
    <w:tmpl w:val="E1703D8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3A535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B80524"/>
    <w:multiLevelType w:val="hybridMultilevel"/>
    <w:tmpl w:val="C5BAF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1302"/>
    <w:multiLevelType w:val="hybridMultilevel"/>
    <w:tmpl w:val="D342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717E8"/>
    <w:multiLevelType w:val="hybridMultilevel"/>
    <w:tmpl w:val="88FEF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20BDA"/>
    <w:multiLevelType w:val="hybridMultilevel"/>
    <w:tmpl w:val="D536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136EE"/>
    <w:multiLevelType w:val="hybridMultilevel"/>
    <w:tmpl w:val="10584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D2FAC"/>
    <w:multiLevelType w:val="hybridMultilevel"/>
    <w:tmpl w:val="1F54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5498E"/>
    <w:multiLevelType w:val="hybridMultilevel"/>
    <w:tmpl w:val="0FDEFB6A"/>
    <w:lvl w:ilvl="0" w:tplc="8154FB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941A4D"/>
    <w:multiLevelType w:val="hybridMultilevel"/>
    <w:tmpl w:val="5EAED6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061C4"/>
    <w:multiLevelType w:val="hybridMultilevel"/>
    <w:tmpl w:val="125E0F3A"/>
    <w:lvl w:ilvl="0" w:tplc="04050001">
      <w:start w:val="1"/>
      <w:numFmt w:val="bullet"/>
      <w:lvlText w:val=""/>
      <w:lvlJc w:val="left"/>
      <w:pPr>
        <w:ind w:left="492" w:hanging="13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5309">
    <w:abstractNumId w:val="6"/>
  </w:num>
  <w:num w:numId="2" w16cid:durableId="1080174760">
    <w:abstractNumId w:val="8"/>
  </w:num>
  <w:num w:numId="3" w16cid:durableId="1738280768">
    <w:abstractNumId w:val="33"/>
  </w:num>
  <w:num w:numId="4" w16cid:durableId="1554121372">
    <w:abstractNumId w:val="7"/>
  </w:num>
  <w:num w:numId="5" w16cid:durableId="1571766108">
    <w:abstractNumId w:val="15"/>
  </w:num>
  <w:num w:numId="6" w16cid:durableId="1739130105">
    <w:abstractNumId w:val="3"/>
  </w:num>
  <w:num w:numId="7" w16cid:durableId="1024016539">
    <w:abstractNumId w:val="21"/>
  </w:num>
  <w:num w:numId="8" w16cid:durableId="1636327647">
    <w:abstractNumId w:val="4"/>
  </w:num>
  <w:num w:numId="9" w16cid:durableId="1806242147">
    <w:abstractNumId w:val="18"/>
  </w:num>
  <w:num w:numId="10" w16cid:durableId="39600890">
    <w:abstractNumId w:val="20"/>
  </w:num>
  <w:num w:numId="11" w16cid:durableId="572814092">
    <w:abstractNumId w:val="26"/>
  </w:num>
  <w:num w:numId="12" w16cid:durableId="2071148945">
    <w:abstractNumId w:val="22"/>
  </w:num>
  <w:num w:numId="13" w16cid:durableId="2008053886">
    <w:abstractNumId w:val="5"/>
  </w:num>
  <w:num w:numId="14" w16cid:durableId="1537736723">
    <w:abstractNumId w:val="0"/>
  </w:num>
  <w:num w:numId="15" w16cid:durableId="1513959950">
    <w:abstractNumId w:val="25"/>
  </w:num>
  <w:num w:numId="16" w16cid:durableId="913200581">
    <w:abstractNumId w:val="13"/>
  </w:num>
  <w:num w:numId="17" w16cid:durableId="432937261">
    <w:abstractNumId w:val="34"/>
  </w:num>
  <w:num w:numId="18" w16cid:durableId="1000739144">
    <w:abstractNumId w:val="16"/>
  </w:num>
  <w:num w:numId="19" w16cid:durableId="2057505063">
    <w:abstractNumId w:val="32"/>
  </w:num>
  <w:num w:numId="20" w16cid:durableId="606888928">
    <w:abstractNumId w:val="1"/>
  </w:num>
  <w:num w:numId="21" w16cid:durableId="961231115">
    <w:abstractNumId w:val="19"/>
  </w:num>
  <w:num w:numId="22" w16cid:durableId="682440964">
    <w:abstractNumId w:val="24"/>
  </w:num>
  <w:num w:numId="23" w16cid:durableId="352419097">
    <w:abstractNumId w:val="17"/>
  </w:num>
  <w:num w:numId="24" w16cid:durableId="636420135">
    <w:abstractNumId w:val="10"/>
  </w:num>
  <w:num w:numId="25" w16cid:durableId="145097186">
    <w:abstractNumId w:val="31"/>
  </w:num>
  <w:num w:numId="26" w16cid:durableId="2139949482">
    <w:abstractNumId w:val="29"/>
  </w:num>
  <w:num w:numId="27" w16cid:durableId="2006325614">
    <w:abstractNumId w:val="28"/>
  </w:num>
  <w:num w:numId="28" w16cid:durableId="1476289974">
    <w:abstractNumId w:val="12"/>
  </w:num>
  <w:num w:numId="29" w16cid:durableId="83192210">
    <w:abstractNumId w:val="11"/>
  </w:num>
  <w:num w:numId="30" w16cid:durableId="1345664722">
    <w:abstractNumId w:val="9"/>
  </w:num>
  <w:num w:numId="31" w16cid:durableId="366834502">
    <w:abstractNumId w:val="2"/>
  </w:num>
  <w:num w:numId="32" w16cid:durableId="1600217371">
    <w:abstractNumId w:val="30"/>
  </w:num>
  <w:num w:numId="33" w16cid:durableId="1343506553">
    <w:abstractNumId w:val="23"/>
  </w:num>
  <w:num w:numId="34" w16cid:durableId="1107197546">
    <w:abstractNumId w:val="27"/>
  </w:num>
  <w:num w:numId="35" w16cid:durableId="13794271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D7"/>
    <w:rsid w:val="00000914"/>
    <w:rsid w:val="00007FCE"/>
    <w:rsid w:val="00016D3D"/>
    <w:rsid w:val="00023FA2"/>
    <w:rsid w:val="00033DD8"/>
    <w:rsid w:val="00036561"/>
    <w:rsid w:val="000400A0"/>
    <w:rsid w:val="000403E5"/>
    <w:rsid w:val="000419FF"/>
    <w:rsid w:val="000438C0"/>
    <w:rsid w:val="00055D2B"/>
    <w:rsid w:val="00064B9C"/>
    <w:rsid w:val="0007093F"/>
    <w:rsid w:val="00072970"/>
    <w:rsid w:val="00073110"/>
    <w:rsid w:val="0007316F"/>
    <w:rsid w:val="00075805"/>
    <w:rsid w:val="00080E4B"/>
    <w:rsid w:val="00087156"/>
    <w:rsid w:val="0009404B"/>
    <w:rsid w:val="000A086A"/>
    <w:rsid w:val="000B42CC"/>
    <w:rsid w:val="000B4444"/>
    <w:rsid w:val="000B5C59"/>
    <w:rsid w:val="000C0B57"/>
    <w:rsid w:val="000C1167"/>
    <w:rsid w:val="000E0646"/>
    <w:rsid w:val="000E3B18"/>
    <w:rsid w:val="0011281E"/>
    <w:rsid w:val="00115785"/>
    <w:rsid w:val="00116A5B"/>
    <w:rsid w:val="001443B6"/>
    <w:rsid w:val="00144D3F"/>
    <w:rsid w:val="00146394"/>
    <w:rsid w:val="00152ACB"/>
    <w:rsid w:val="00153089"/>
    <w:rsid w:val="0015415C"/>
    <w:rsid w:val="001548D4"/>
    <w:rsid w:val="0015572F"/>
    <w:rsid w:val="001562B8"/>
    <w:rsid w:val="00187B5F"/>
    <w:rsid w:val="00195236"/>
    <w:rsid w:val="00195D51"/>
    <w:rsid w:val="001A19B7"/>
    <w:rsid w:val="001A311C"/>
    <w:rsid w:val="001A6043"/>
    <w:rsid w:val="001B4787"/>
    <w:rsid w:val="001B63AD"/>
    <w:rsid w:val="001C0983"/>
    <w:rsid w:val="001C15F3"/>
    <w:rsid w:val="001C6561"/>
    <w:rsid w:val="001C7B34"/>
    <w:rsid w:val="001E4FDE"/>
    <w:rsid w:val="001E7790"/>
    <w:rsid w:val="001F2E69"/>
    <w:rsid w:val="001F2EB8"/>
    <w:rsid w:val="001F56E6"/>
    <w:rsid w:val="0020289B"/>
    <w:rsid w:val="00205607"/>
    <w:rsid w:val="002172C9"/>
    <w:rsid w:val="00220349"/>
    <w:rsid w:val="00223A0A"/>
    <w:rsid w:val="00227754"/>
    <w:rsid w:val="002331D9"/>
    <w:rsid w:val="00241A69"/>
    <w:rsid w:val="00245294"/>
    <w:rsid w:val="00266630"/>
    <w:rsid w:val="00267EBD"/>
    <w:rsid w:val="0027275A"/>
    <w:rsid w:val="0027290B"/>
    <w:rsid w:val="002731CD"/>
    <w:rsid w:val="002731D9"/>
    <w:rsid w:val="00275487"/>
    <w:rsid w:val="002852DC"/>
    <w:rsid w:val="002A02B6"/>
    <w:rsid w:val="002A67E5"/>
    <w:rsid w:val="002A6833"/>
    <w:rsid w:val="002A7578"/>
    <w:rsid w:val="002C12DF"/>
    <w:rsid w:val="002C466D"/>
    <w:rsid w:val="00301921"/>
    <w:rsid w:val="00306FD5"/>
    <w:rsid w:val="0030793F"/>
    <w:rsid w:val="00310D9D"/>
    <w:rsid w:val="00315010"/>
    <w:rsid w:val="00326B92"/>
    <w:rsid w:val="00330C25"/>
    <w:rsid w:val="00332DF9"/>
    <w:rsid w:val="003330D0"/>
    <w:rsid w:val="00333907"/>
    <w:rsid w:val="00344274"/>
    <w:rsid w:val="00347FC0"/>
    <w:rsid w:val="00361ABB"/>
    <w:rsid w:val="00362318"/>
    <w:rsid w:val="0036674C"/>
    <w:rsid w:val="00376582"/>
    <w:rsid w:val="00376E36"/>
    <w:rsid w:val="003773D6"/>
    <w:rsid w:val="003779D1"/>
    <w:rsid w:val="00385D64"/>
    <w:rsid w:val="00390123"/>
    <w:rsid w:val="00396DBE"/>
    <w:rsid w:val="003971AB"/>
    <w:rsid w:val="003A2F16"/>
    <w:rsid w:val="003A3371"/>
    <w:rsid w:val="003A3CF9"/>
    <w:rsid w:val="003A481F"/>
    <w:rsid w:val="003B191F"/>
    <w:rsid w:val="003B1FCD"/>
    <w:rsid w:val="003B740A"/>
    <w:rsid w:val="003B7EAD"/>
    <w:rsid w:val="003C0727"/>
    <w:rsid w:val="003C44E5"/>
    <w:rsid w:val="003C7740"/>
    <w:rsid w:val="003D5B44"/>
    <w:rsid w:val="003E68BD"/>
    <w:rsid w:val="004079A3"/>
    <w:rsid w:val="00411652"/>
    <w:rsid w:val="0041267B"/>
    <w:rsid w:val="00413F5B"/>
    <w:rsid w:val="004164F1"/>
    <w:rsid w:val="004214D9"/>
    <w:rsid w:val="00423C27"/>
    <w:rsid w:val="004268E8"/>
    <w:rsid w:val="00430E2A"/>
    <w:rsid w:val="004323DD"/>
    <w:rsid w:val="00441319"/>
    <w:rsid w:val="00446C1F"/>
    <w:rsid w:val="00453B11"/>
    <w:rsid w:val="0045480A"/>
    <w:rsid w:val="004565A8"/>
    <w:rsid w:val="004717C4"/>
    <w:rsid w:val="00476F81"/>
    <w:rsid w:val="00480D85"/>
    <w:rsid w:val="00482DB3"/>
    <w:rsid w:val="00490185"/>
    <w:rsid w:val="00493CA7"/>
    <w:rsid w:val="00496BAF"/>
    <w:rsid w:val="004A0802"/>
    <w:rsid w:val="004A29B9"/>
    <w:rsid w:val="004A3520"/>
    <w:rsid w:val="004A477F"/>
    <w:rsid w:val="004B029A"/>
    <w:rsid w:val="004B30AA"/>
    <w:rsid w:val="004B49F7"/>
    <w:rsid w:val="004B7EA6"/>
    <w:rsid w:val="004C6901"/>
    <w:rsid w:val="004D1F0D"/>
    <w:rsid w:val="004D4472"/>
    <w:rsid w:val="004D7727"/>
    <w:rsid w:val="004F548B"/>
    <w:rsid w:val="00502E23"/>
    <w:rsid w:val="00511440"/>
    <w:rsid w:val="00513910"/>
    <w:rsid w:val="00517DDF"/>
    <w:rsid w:val="00521DFC"/>
    <w:rsid w:val="005233EB"/>
    <w:rsid w:val="0052429A"/>
    <w:rsid w:val="00532458"/>
    <w:rsid w:val="00545F64"/>
    <w:rsid w:val="005559AE"/>
    <w:rsid w:val="0056082C"/>
    <w:rsid w:val="0056592E"/>
    <w:rsid w:val="00565B8C"/>
    <w:rsid w:val="00565EBD"/>
    <w:rsid w:val="00570EF1"/>
    <w:rsid w:val="00580C21"/>
    <w:rsid w:val="0058138C"/>
    <w:rsid w:val="005960B8"/>
    <w:rsid w:val="005A4120"/>
    <w:rsid w:val="005A4A18"/>
    <w:rsid w:val="005B464D"/>
    <w:rsid w:val="005B6F54"/>
    <w:rsid w:val="005C0F9B"/>
    <w:rsid w:val="005C15CD"/>
    <w:rsid w:val="005D1FD7"/>
    <w:rsid w:val="005D27DA"/>
    <w:rsid w:val="005D30FD"/>
    <w:rsid w:val="005D46AD"/>
    <w:rsid w:val="005D68B8"/>
    <w:rsid w:val="005E4EDF"/>
    <w:rsid w:val="005F28C7"/>
    <w:rsid w:val="005F4EC8"/>
    <w:rsid w:val="0060077C"/>
    <w:rsid w:val="00600B8D"/>
    <w:rsid w:val="00603764"/>
    <w:rsid w:val="006156D4"/>
    <w:rsid w:val="00617CAF"/>
    <w:rsid w:val="0062060C"/>
    <w:rsid w:val="006351D7"/>
    <w:rsid w:val="006414D6"/>
    <w:rsid w:val="006502E0"/>
    <w:rsid w:val="00656F11"/>
    <w:rsid w:val="00660876"/>
    <w:rsid w:val="00664C51"/>
    <w:rsid w:val="00676066"/>
    <w:rsid w:val="006778EB"/>
    <w:rsid w:val="006859CF"/>
    <w:rsid w:val="0068764C"/>
    <w:rsid w:val="006A358E"/>
    <w:rsid w:val="006C7A02"/>
    <w:rsid w:val="006D6630"/>
    <w:rsid w:val="006E45E7"/>
    <w:rsid w:val="00700B73"/>
    <w:rsid w:val="007027AF"/>
    <w:rsid w:val="007203F2"/>
    <w:rsid w:val="00727926"/>
    <w:rsid w:val="00734C92"/>
    <w:rsid w:val="00742767"/>
    <w:rsid w:val="00745CF2"/>
    <w:rsid w:val="00761417"/>
    <w:rsid w:val="0076289B"/>
    <w:rsid w:val="00763C00"/>
    <w:rsid w:val="007700EA"/>
    <w:rsid w:val="007865D4"/>
    <w:rsid w:val="0078758E"/>
    <w:rsid w:val="00795EC7"/>
    <w:rsid w:val="007965D7"/>
    <w:rsid w:val="007B3422"/>
    <w:rsid w:val="007C2431"/>
    <w:rsid w:val="007D1F4D"/>
    <w:rsid w:val="007D2E2B"/>
    <w:rsid w:val="007D40A6"/>
    <w:rsid w:val="007D4D2F"/>
    <w:rsid w:val="007D51DD"/>
    <w:rsid w:val="007D63CD"/>
    <w:rsid w:val="007D6A50"/>
    <w:rsid w:val="007F1A0B"/>
    <w:rsid w:val="007F1BC1"/>
    <w:rsid w:val="00814F22"/>
    <w:rsid w:val="00823A9E"/>
    <w:rsid w:val="00826E71"/>
    <w:rsid w:val="00844DBA"/>
    <w:rsid w:val="008459A2"/>
    <w:rsid w:val="008606E8"/>
    <w:rsid w:val="00862979"/>
    <w:rsid w:val="00862E32"/>
    <w:rsid w:val="008640A9"/>
    <w:rsid w:val="00870DD5"/>
    <w:rsid w:val="0087314C"/>
    <w:rsid w:val="00876921"/>
    <w:rsid w:val="008776D0"/>
    <w:rsid w:val="008874AC"/>
    <w:rsid w:val="008A68DD"/>
    <w:rsid w:val="008B629A"/>
    <w:rsid w:val="008B70D1"/>
    <w:rsid w:val="008C6234"/>
    <w:rsid w:val="008D1A6D"/>
    <w:rsid w:val="008D37B3"/>
    <w:rsid w:val="008D74BF"/>
    <w:rsid w:val="008E2D63"/>
    <w:rsid w:val="008F6779"/>
    <w:rsid w:val="00913957"/>
    <w:rsid w:val="009230E0"/>
    <w:rsid w:val="00923789"/>
    <w:rsid w:val="00925FC7"/>
    <w:rsid w:val="00936DA3"/>
    <w:rsid w:val="00937456"/>
    <w:rsid w:val="00942D8B"/>
    <w:rsid w:val="00952384"/>
    <w:rsid w:val="00954116"/>
    <w:rsid w:val="00957E7A"/>
    <w:rsid w:val="00972907"/>
    <w:rsid w:val="009745B1"/>
    <w:rsid w:val="009753A0"/>
    <w:rsid w:val="00982034"/>
    <w:rsid w:val="009951D2"/>
    <w:rsid w:val="00997F11"/>
    <w:rsid w:val="009A1231"/>
    <w:rsid w:val="009A4986"/>
    <w:rsid w:val="009B093C"/>
    <w:rsid w:val="009B5833"/>
    <w:rsid w:val="009C06FE"/>
    <w:rsid w:val="009C3B11"/>
    <w:rsid w:val="009C6C2C"/>
    <w:rsid w:val="009F0BBC"/>
    <w:rsid w:val="009F3A8C"/>
    <w:rsid w:val="009F6902"/>
    <w:rsid w:val="00A01DB6"/>
    <w:rsid w:val="00A02CC3"/>
    <w:rsid w:val="00A10E7C"/>
    <w:rsid w:val="00A15A7A"/>
    <w:rsid w:val="00A20CDA"/>
    <w:rsid w:val="00A224D7"/>
    <w:rsid w:val="00A24A85"/>
    <w:rsid w:val="00A24E49"/>
    <w:rsid w:val="00A2784E"/>
    <w:rsid w:val="00A31470"/>
    <w:rsid w:val="00A31E48"/>
    <w:rsid w:val="00A31E52"/>
    <w:rsid w:val="00A44A23"/>
    <w:rsid w:val="00A44FD6"/>
    <w:rsid w:val="00A567A0"/>
    <w:rsid w:val="00A57001"/>
    <w:rsid w:val="00A6660E"/>
    <w:rsid w:val="00A6687D"/>
    <w:rsid w:val="00A72623"/>
    <w:rsid w:val="00A74A21"/>
    <w:rsid w:val="00A81FD4"/>
    <w:rsid w:val="00A8236B"/>
    <w:rsid w:val="00A961E3"/>
    <w:rsid w:val="00AB1357"/>
    <w:rsid w:val="00AB1B89"/>
    <w:rsid w:val="00AB38AE"/>
    <w:rsid w:val="00AB51D6"/>
    <w:rsid w:val="00AC053E"/>
    <w:rsid w:val="00AD0D53"/>
    <w:rsid w:val="00AD54A7"/>
    <w:rsid w:val="00AD5F0D"/>
    <w:rsid w:val="00AD6968"/>
    <w:rsid w:val="00AE01C6"/>
    <w:rsid w:val="00AE146F"/>
    <w:rsid w:val="00AF2734"/>
    <w:rsid w:val="00AF29F0"/>
    <w:rsid w:val="00AF529E"/>
    <w:rsid w:val="00AF658A"/>
    <w:rsid w:val="00AF6F87"/>
    <w:rsid w:val="00B1623E"/>
    <w:rsid w:val="00B30D92"/>
    <w:rsid w:val="00B3539B"/>
    <w:rsid w:val="00B40817"/>
    <w:rsid w:val="00B40E3D"/>
    <w:rsid w:val="00B50186"/>
    <w:rsid w:val="00B56003"/>
    <w:rsid w:val="00B75B4D"/>
    <w:rsid w:val="00B82270"/>
    <w:rsid w:val="00B82E71"/>
    <w:rsid w:val="00B85FD8"/>
    <w:rsid w:val="00B86954"/>
    <w:rsid w:val="00B8734D"/>
    <w:rsid w:val="00B96FDE"/>
    <w:rsid w:val="00BA5B15"/>
    <w:rsid w:val="00BA7906"/>
    <w:rsid w:val="00BB0AA7"/>
    <w:rsid w:val="00BB3ADD"/>
    <w:rsid w:val="00BC375F"/>
    <w:rsid w:val="00BC3F5B"/>
    <w:rsid w:val="00BD1B62"/>
    <w:rsid w:val="00BD3279"/>
    <w:rsid w:val="00BD4C1B"/>
    <w:rsid w:val="00BD615B"/>
    <w:rsid w:val="00BF62CA"/>
    <w:rsid w:val="00C03AEB"/>
    <w:rsid w:val="00C056DF"/>
    <w:rsid w:val="00C23617"/>
    <w:rsid w:val="00C23C21"/>
    <w:rsid w:val="00C26218"/>
    <w:rsid w:val="00C35D61"/>
    <w:rsid w:val="00C371F9"/>
    <w:rsid w:val="00C4240A"/>
    <w:rsid w:val="00C475CD"/>
    <w:rsid w:val="00C53E9D"/>
    <w:rsid w:val="00C5523F"/>
    <w:rsid w:val="00C70329"/>
    <w:rsid w:val="00CA229D"/>
    <w:rsid w:val="00CC0E6E"/>
    <w:rsid w:val="00CC2558"/>
    <w:rsid w:val="00CC4242"/>
    <w:rsid w:val="00CD2C1F"/>
    <w:rsid w:val="00CD4A3E"/>
    <w:rsid w:val="00CE1563"/>
    <w:rsid w:val="00CE226D"/>
    <w:rsid w:val="00CF1B21"/>
    <w:rsid w:val="00CF3FAD"/>
    <w:rsid w:val="00CF4D45"/>
    <w:rsid w:val="00CF7352"/>
    <w:rsid w:val="00D14C2B"/>
    <w:rsid w:val="00D17BAC"/>
    <w:rsid w:val="00D23FF3"/>
    <w:rsid w:val="00D24942"/>
    <w:rsid w:val="00D2749F"/>
    <w:rsid w:val="00D3000A"/>
    <w:rsid w:val="00D30877"/>
    <w:rsid w:val="00D36EDA"/>
    <w:rsid w:val="00D409EC"/>
    <w:rsid w:val="00D530BC"/>
    <w:rsid w:val="00D57344"/>
    <w:rsid w:val="00D57B02"/>
    <w:rsid w:val="00D603BB"/>
    <w:rsid w:val="00D643F5"/>
    <w:rsid w:val="00D65230"/>
    <w:rsid w:val="00D715AD"/>
    <w:rsid w:val="00D81295"/>
    <w:rsid w:val="00D84601"/>
    <w:rsid w:val="00D958E3"/>
    <w:rsid w:val="00DA1A30"/>
    <w:rsid w:val="00DA2CD7"/>
    <w:rsid w:val="00DA44EE"/>
    <w:rsid w:val="00DA4978"/>
    <w:rsid w:val="00DC5BFE"/>
    <w:rsid w:val="00DC6B84"/>
    <w:rsid w:val="00DC6E09"/>
    <w:rsid w:val="00DE7155"/>
    <w:rsid w:val="00DE776F"/>
    <w:rsid w:val="00DF1690"/>
    <w:rsid w:val="00E0007A"/>
    <w:rsid w:val="00E064C9"/>
    <w:rsid w:val="00E22810"/>
    <w:rsid w:val="00E305D3"/>
    <w:rsid w:val="00E54EAF"/>
    <w:rsid w:val="00E556B9"/>
    <w:rsid w:val="00E82B4B"/>
    <w:rsid w:val="00E83E32"/>
    <w:rsid w:val="00E91FA7"/>
    <w:rsid w:val="00EA2181"/>
    <w:rsid w:val="00EA327C"/>
    <w:rsid w:val="00EA4F67"/>
    <w:rsid w:val="00EB7122"/>
    <w:rsid w:val="00ED1FBB"/>
    <w:rsid w:val="00EE0B10"/>
    <w:rsid w:val="00EE2864"/>
    <w:rsid w:val="00EE3E39"/>
    <w:rsid w:val="00EE5DF8"/>
    <w:rsid w:val="00EE7BB6"/>
    <w:rsid w:val="00F05E15"/>
    <w:rsid w:val="00F0632A"/>
    <w:rsid w:val="00F10BB7"/>
    <w:rsid w:val="00F23F7C"/>
    <w:rsid w:val="00F32093"/>
    <w:rsid w:val="00F32F74"/>
    <w:rsid w:val="00F33545"/>
    <w:rsid w:val="00F37199"/>
    <w:rsid w:val="00F45B15"/>
    <w:rsid w:val="00F47982"/>
    <w:rsid w:val="00F517E0"/>
    <w:rsid w:val="00F52875"/>
    <w:rsid w:val="00F77ECF"/>
    <w:rsid w:val="00F8237A"/>
    <w:rsid w:val="00F83133"/>
    <w:rsid w:val="00F83969"/>
    <w:rsid w:val="00F91C13"/>
    <w:rsid w:val="00F92ACA"/>
    <w:rsid w:val="00F957A8"/>
    <w:rsid w:val="00F95EE5"/>
    <w:rsid w:val="00F9652F"/>
    <w:rsid w:val="00FA01FB"/>
    <w:rsid w:val="00FA5FF3"/>
    <w:rsid w:val="00FB5525"/>
    <w:rsid w:val="00FB64CE"/>
    <w:rsid w:val="00FC4206"/>
    <w:rsid w:val="00FC497F"/>
    <w:rsid w:val="00FC4AA0"/>
    <w:rsid w:val="00FC53D3"/>
    <w:rsid w:val="00FD679E"/>
    <w:rsid w:val="00FF6633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AC2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1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14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1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FD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14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14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14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14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4D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14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4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4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4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4D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6082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B5C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C59"/>
  </w:style>
  <w:style w:type="paragraph" w:styleId="Zpat">
    <w:name w:val="footer"/>
    <w:basedOn w:val="Normln"/>
    <w:link w:val="ZpatChar"/>
    <w:uiPriority w:val="99"/>
    <w:unhideWhenUsed/>
    <w:rsid w:val="000B5C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C59"/>
  </w:style>
  <w:style w:type="character" w:styleId="Hypertextovodkaz">
    <w:name w:val="Hyperlink"/>
    <w:basedOn w:val="Standardnpsmoodstavce"/>
    <w:uiPriority w:val="99"/>
    <w:unhideWhenUsed/>
    <w:rsid w:val="002331D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330C25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30C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330C25"/>
    <w:rPr>
      <w:vertAlign w:val="superscript"/>
    </w:rPr>
  </w:style>
  <w:style w:type="character" w:customStyle="1" w:styleId="apple-converted-space">
    <w:name w:val="apple-converted-space"/>
    <w:basedOn w:val="Standardnpsmoodstavce"/>
    <w:rsid w:val="00A31E48"/>
  </w:style>
  <w:style w:type="paragraph" w:styleId="FormtovanvHTML">
    <w:name w:val="HTML Preformatted"/>
    <w:basedOn w:val="Normln"/>
    <w:link w:val="FormtovanvHTMLChar"/>
    <w:uiPriority w:val="99"/>
    <w:unhideWhenUsed/>
    <w:rsid w:val="00936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" w:eastAsiaTheme="minorHAnsi" w:hAnsi="Courier" w:cs="Courier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36DA3"/>
    <w:rPr>
      <w:rFonts w:ascii="Courier" w:hAnsi="Courier" w:cs="Courier"/>
      <w:sz w:val="20"/>
      <w:szCs w:val="20"/>
      <w:lang w:val="en-US"/>
    </w:rPr>
  </w:style>
  <w:style w:type="character" w:customStyle="1" w:styleId="h1a6">
    <w:name w:val="h1a6"/>
    <w:rsid w:val="00245294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3EF3-5F28-4FF7-9775-ADE4F55B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2022-09-22T11:27:00Z</dcterms:created>
  <dcterms:modified xsi:type="dcterms:W3CDTF">2024-10-17T11:30:00Z</dcterms:modified>
</cp:coreProperties>
</file>