
<file path=[Content_Types].xml><?xml version="1.0" encoding="utf-8"?>
<Types xmlns="http://schemas.openxmlformats.org/package/2006/content-types">
  <Default ContentType="image/bmp" Extension="bmp"/>
  <Default ContentType="image/gif" Extension="gif"/>
  <Default ContentType="image/jpeg" Extension="jfif"/>
  <Default ContentType="image/jpeg" Extension="jpe"/>
  <Default ContentType="image/jpeg" Extension="jpeg"/>
  <Default ContentType="image/jpeg" Extension="jpg"/>
  <Default ContentType="image/png" Extension="png"/>
  <Default ContentType="application/vnd.openxmlformats-package.relationships+xml" Extension="rels"/>
  <Default ContentType="image/tiff" Extension="tif"/>
  <Default ContentType="image/tiff" Extension="tif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tbl>
      <w:tblPr>
        <w:tblW w:type="dxa" w:w="9594"/>
        <w:tblInd w:type="dxa" w:w="93"/>
        <w:tblLayout w:type="fixed"/>
        <w:tblLook w:firstColumn="1" w:firstRow="1" w:lastColumn="0" w:lastRow="0" w:noHBand="0" w:noVBand="1" w:val="04A0"/>
      </w:tblPr>
      <w:tblGrid>
        <w:gridCol w:w="6252"/>
        <w:gridCol w:w="3342"/>
      </w:tblGrid>
      <w:tr w:rsidR="001D21CA" w:rsidRPr="000C3218" w:rsidTr="00860350">
        <w:trPr>
          <w:trHeight w:val="1320"/>
        </w:trPr>
        <w:tc>
          <w:tcPr>
            <w:tcW w:type="dxa" w:w="9594"/>
            <w:gridSpan w:val="2"/>
            <w:vMerge w:val="restart"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000000" w:fill="99CCFF" w:val="clear"/>
            <w:vAlign w:val="center"/>
            <w:hideMark/>
          </w:tcPr>
          <w:p w:rsidP="001D21CA" w:rsidR="001D21CA" w:rsidRDefault="001D21CA" w:rsidRPr="002B0D3F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  <w:bookmarkStart w:id="0" w:name="RANGE!B3"/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REQUEST OF FURTHER PRE-FINANCING PAYME</w:t>
            </w:r>
            <w:r w:rsidR="003F4F69"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N</w:t>
            </w:r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T</w:t>
            </w:r>
            <w:bookmarkEnd w:id="0"/>
          </w:p>
        </w:tc>
      </w:tr>
      <w:tr w:rsidR="001D21CA" w:rsidRPr="000C3218" w:rsidTr="00860350">
        <w:trPr>
          <w:trHeight w:val="389"/>
        </w:trPr>
        <w:tc>
          <w:tcPr>
            <w:tcW w:type="dxa" w:w="9594"/>
            <w:gridSpan w:val="2"/>
            <w:vMerge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1D21CA" w:rsidR="001D21CA" w:rsidRDefault="001D21CA" w:rsidRPr="002B0D3F">
            <w:pPr>
              <w:spacing w:after="0" w:line="240" w:lineRule="auto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>Grant Agreement Nº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INEA/CEF/TRAN/M2016/1356385</w:t>
            </w: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 xml:space="preserve">Action </w:t>
            </w:r>
            <w:proofErr w:type="spellStart"/>
            <w:r>
              <w:rPr>
                <w:rFonts w:ascii="Verdana" w:cs="Arial" w:eastAsia="Arial" w:hAnsi="Verdana"/>
                <w:sz w:val="24"/>
              </w:rPr>
              <w:t>number</w:t>
            </w:r>
            <w:proofErr w:type="spellEnd"/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2016-SK-TMC-0220-S</w:t>
            </w: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 xml:space="preserve">Action </w:t>
            </w:r>
            <w:proofErr w:type="spellStart"/>
            <w:r>
              <w:rPr>
                <w:rFonts w:ascii="Verdana" w:cs="Arial" w:eastAsia="Arial" w:hAnsi="Verdana"/>
                <w:sz w:val="24"/>
              </w:rPr>
              <w:t>t</w:t>
            </w:r>
            <w:r w:rsidRPr="00187B31">
              <w:rPr>
                <w:rFonts w:ascii="Verdana" w:cs="Arial" w:eastAsia="Arial" w:hAnsi="Verdana"/>
                <w:sz w:val="24"/>
              </w:rPr>
              <w:t>itle</w:t>
            </w:r>
            <w:proofErr w:type="spellEnd"/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Upgrade of the railway line Devínska Nová Ves - SK/CZ state border, Malacky-Kúty section</w:t>
            </w:r>
          </w:p>
        </w:tc>
      </w:tr>
      <w:tr w:rsidR="001D21CA" w:rsidRPr="006405BD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  <w:hideMark/>
          </w:tcPr>
          <w:p w:rsidP="001D21CA" w:rsidR="001D21CA" w:rsidRDefault="00BB0028" w:rsidRPr="00373E25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Beneficiary name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="00BA5F1D">
              <w:rPr>
                <w:rFonts w:ascii="Verdana" w:cs="Arial" w:eastAsia="Arial" w:hAnsi="Verdana"/>
                <w:noProof/>
                <w:sz w:val="24"/>
              </w:rPr>
              <w:t>Železnice Slovenskej republiky</w:t>
            </w:r>
          </w:p>
        </w:tc>
      </w:tr>
      <w:tr w:rsidR="00860350" w:rsidRPr="000C3218" w:rsidTr="00860350">
        <w:trPr>
          <w:trHeight w:val="408"/>
        </w:trPr>
        <w:tc>
          <w:tcPr>
            <w:tcW w:type="dxa" w:w="9594"/>
            <w:gridSpan w:val="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 w:rsidRPr="00860350">
            <w:pPr>
              <w:spacing w:after="0" w:line="240" w:lineRule="auto"/>
              <w:rPr>
                <w:rFonts w:ascii="Verdana" w:cs="Arial" w:eastAsia="Arial" w:hAnsi="Verdana"/>
                <w:sz w:val="24"/>
                <w:lang w:val="en-GB"/>
              </w:rPr>
            </w:pPr>
            <w:r w:rsidRPr="002005AA">
              <w:rPr>
                <w:rFonts w:ascii="Verdana" w:cs="Arial" w:eastAsia="Times New Roman" w:hAnsi="Verdana"/>
                <w:b/>
                <w:sz w:val="24"/>
                <w:szCs w:val="24"/>
                <w:lang w:eastAsia="en-GB" w:val="en-GB"/>
              </w:rPr>
              <w:t>Financial information for the Action</w:t>
            </w:r>
          </w:p>
        </w:tc>
      </w:tr>
      <w:tr w:rsidR="00860350" w:rsidRPr="00860350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 w:rsidRPr="001E4E1E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/>
              </w:rPr>
            </w:pPr>
            <w:r w:rsidRPr="001E4E1E">
              <w:rPr>
                <w:rFonts w:ascii="Verdana" w:cs="Arial" w:eastAsia="Times New Roman" w:hAnsi="Verdana"/>
                <w:sz w:val="24"/>
                <w:szCs w:val="24"/>
                <w:lang w:eastAsia="en-GB"/>
              </w:rPr>
              <w:t>A. Maximum EU contribution (Art. 3)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FC78A9" w:rsidRDefault="00AE7C02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4,737,050.00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617A89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B. Pre-financing rate (Art. 4.1.2)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617A89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50.00</w:t>
            </w:r>
            <w:r w:rsidRPr="00504253">
              <w:rPr>
                <w:rFonts w:ascii="Verdana" w:cs="Arial" w:eastAsia="Arial" w:hAnsi="Verdana"/>
                <w:noProof/>
                <w:sz w:val="24"/>
                <w:lang w:val="en-GB"/>
              </w:rPr>
              <w:t xml:space="preserve"> %</w:t>
            </w:r>
          </w:p>
        </w:tc>
      </w:tr>
      <w:tr w:rsidR="00860350" w:rsidRPr="00332CAC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C. Maximum pre-financing payment (Art. 4.1.2) (=B*A)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825863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2,368,525.00</w:t>
            </w:r>
            <w:r w:rsidR="00F7683B">
              <w:rPr>
                <w:rFonts w:ascii="Verdana" w:cs="Arial" w:eastAsia="Arial" w:hAnsi="Verdana"/>
                <w:sz w:val="24"/>
              </w:rPr>
              <w:t xml:space="preserve"> </w:t>
            </w:r>
            <w:r w:rsidR="00F7683B"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806DAF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D. Maximum ceiling for the sum of pre-financing and interim payments (Art 4.1.3) (=80%*A)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803B64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3,789,640.00</w:t>
            </w:r>
            <w:r w:rsidR="00AF05A7">
              <w:rPr>
                <w:rFonts w:ascii="Verdana" w:cs="Arial" w:eastAsia="Arial" w:hAnsi="Verdana"/>
                <w:sz w:val="24"/>
              </w:rPr>
              <w:t xml:space="preserve"> </w:t>
            </w:r>
            <w:r w:rsidR="00AF05A7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617A89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E. Sum of previous pre-financing payments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617A89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2,075,062.50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AD22DE" w:rsidRPr="00AD22DE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AD22DE" w:rsidRDefault="00AD22DE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AD22DE"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F. Sum of interim payments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AD22DE" w:rsidRDefault="00AD22DE" w:rsidRPr="00AD22DE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481,002.50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0C3218" w:rsidTr="00860350">
        <w:trPr>
          <w:trHeight w:val="585"/>
        </w:trPr>
        <w:tc>
          <w:tcPr>
            <w:tcW w:type="dxa" w:w="9594"/>
            <w:gridSpan w:val="2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895C43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895C43" w:rsidR="00860350" w:rsidRDefault="00860350">
            <w:pPr>
              <w:jc w:val="both"/>
              <w:rPr>
                <w:sz w:val="28"/>
                <w:lang w:val="en-GB"/>
              </w:rPr>
            </w:pPr>
            <w:r w:rsidRPr="00A22C66">
              <w:rPr>
                <w:sz w:val="28"/>
                <w:lang w:val="en-GB"/>
              </w:rPr>
              <w:t xml:space="preserve">Dear Sirs, </w:t>
            </w:r>
          </w:p>
          <w:p w:rsidP="00895C43" w:rsidR="00860350" w:rsidRDefault="00860350" w:rsidRPr="00464CAA">
            <w:pPr>
              <w:jc w:val="both"/>
              <w:rPr>
                <w:sz w:val="28"/>
                <w:lang w:val="en-GB"/>
              </w:rPr>
            </w:pPr>
            <w:r>
              <w:rPr>
                <w:sz w:val="28"/>
                <w:lang w:val="en-GB"/>
              </w:rPr>
              <w:t xml:space="preserve">Along with the submission of the </w:t>
            </w: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2024</w:t>
            </w:r>
            <w:r w:rsidRPr="00E92D77">
              <w:rPr>
                <w:rFonts w:ascii="Verdana" w:cs="Arial" w:eastAsia="Arial" w:hAnsi="Verdana"/>
                <w:sz w:val="24"/>
                <w:lang w:val="en-GB"/>
              </w:rPr>
              <w:t xml:space="preserve"> </w:t>
            </w:r>
            <w:r>
              <w:rPr>
                <w:sz w:val="28"/>
                <w:lang w:val="en-GB"/>
              </w:rPr>
              <w:t xml:space="preserve">ASR for the Action in subject, </w:t>
            </w:r>
            <w:r w:rsidRPr="00A22C66">
              <w:rPr>
                <w:sz w:val="28"/>
                <w:lang w:val="en-GB"/>
              </w:rPr>
              <w:t xml:space="preserve">we hereby </w:t>
            </w:r>
            <w:r>
              <w:rPr>
                <w:sz w:val="28"/>
                <w:lang w:val="en-GB"/>
              </w:rPr>
              <w:t xml:space="preserve">submit a </w:t>
            </w:r>
            <w:r w:rsidRPr="00A22C66">
              <w:rPr>
                <w:sz w:val="28"/>
                <w:lang w:val="en-GB"/>
              </w:rPr>
              <w:t>request for further pre-fin</w:t>
            </w:r>
            <w:r>
              <w:rPr>
                <w:sz w:val="28"/>
                <w:lang w:val="en-GB"/>
              </w:rPr>
              <w:t>ancing</w:t>
            </w:r>
            <w:r w:rsidRPr="00464CAA">
              <w:rPr>
                <w:sz w:val="28"/>
                <w:lang w:val="en-GB"/>
              </w:rPr>
              <w:t>. Please find enclosed: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464CAA">
              <w:rPr>
                <w:sz w:val="28"/>
                <w:lang w:val="en-GB"/>
              </w:rPr>
              <w:t>the amount of the previous pre-financing used to cover costs of the Action</w:t>
            </w:r>
            <w:r>
              <w:rPr>
                <w:sz w:val="28"/>
                <w:lang w:val="en-GB"/>
              </w:rPr>
              <w:t>,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amount of the requested further pre-financing;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allocation of the amounts to be paid to each beneficiary and the methodology used (if applicable)</w:t>
            </w:r>
          </w:p>
          <w:p w:rsidP="00895C43" w:rsidR="00860350" w:rsidRDefault="00860350" w:rsidRPr="001D21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financial guarantees</w:t>
            </w:r>
            <w:r w:rsidRPr="00464CAA">
              <w:rPr>
                <w:sz w:val="28"/>
                <w:lang w:val="en-GB"/>
              </w:rPr>
              <w:t xml:space="preserve"> (if applicable)</w:t>
            </w:r>
          </w:p>
        </w:tc>
      </w:tr>
      <w:tr w:rsidR="00860350" w:rsidRPr="000C3218" w:rsidTr="00860350">
        <w:trPr>
          <w:trHeight w:val="525"/>
        </w:trPr>
        <w:tc>
          <w:tcPr>
            <w:tcW w:type="dxa" w:w="9594"/>
            <w:gridSpan w:val="2"/>
            <w:vMerge w:val="restart"/>
            <w:tcBorders>
              <w:top w:val="nil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vAlign w:val="center"/>
            <w:hideMark/>
          </w:tcPr>
          <w:p w:rsidP="001D21CA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1D21CA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464CAA" w:rsidR="00860350" w:rsidRDefault="00860350" w:rsidRPr="006405BD">
            <w:p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  <w:tr w:rsidR="00860350" w:rsidRPr="000C3218" w:rsidTr="00860350">
        <w:trPr>
          <w:trHeight w:val="292"/>
        </w:trPr>
        <w:tc>
          <w:tcPr>
            <w:tcW w:type="dxa" w:w="9594"/>
            <w:gridSpan w:val="2"/>
            <w:vMerge/>
            <w:tcBorders>
              <w:top w:val="nil"/>
              <w:left w:color="auto" w:space="0" w:sz="8" w:val="single"/>
              <w:bottom w:val="nil"/>
              <w:right w:color="000000" w:space="0" w:sz="8" w:val="single"/>
            </w:tcBorders>
            <w:vAlign w:val="center"/>
            <w:hideMark/>
          </w:tcPr>
          <w:p w:rsidP="001D21CA" w:rsidR="00860350" w:rsidRDefault="00860350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</w:tbl>
    <w:p w:rsidR="00112195" w:rsidRDefault="00112195">
      <w:pPr>
        <w:rPr>
          <w:sz w:val="28"/>
          <w:lang w:val="en-GB"/>
        </w:rPr>
      </w:pPr>
      <w:r>
        <w:rPr>
          <w:sz w:val="28"/>
          <w:lang w:val="en-GB"/>
        </w:rPr>
        <w:br w:type="page"/>
      </w:r>
    </w:p>
    <w:tbl>
      <w:tblPr>
        <w:tblW w:type="auto" w:w="0"/>
        <w:tblInd w:type="dxa" w:w="93"/>
        <w:tblLook w:firstColumn="1" w:firstRow="1" w:lastColumn="0" w:lastRow="0" w:noHBand="0" w:noVBand="1" w:val="04A0"/>
      </w:tblPr>
      <w:tblGrid>
        <w:gridCol w:w="9195"/>
      </w:tblGrid>
      <w:tr w:rsidR="00F45AED" w:rsidRPr="001D21CA" w:rsidTr="006F34F4">
        <w:trPr>
          <w:trHeight w:val="1320"/>
        </w:trPr>
        <w:tc>
          <w:tcPr>
            <w:tcW w:type="auto" w:w="0"/>
            <w:vMerge w:val="restart"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000000" w:fill="99CCFF" w:val="clear"/>
            <w:vAlign w:val="center"/>
            <w:hideMark/>
          </w:tcPr>
          <w:p w:rsidP="00912FD0" w:rsidR="00F45AED" w:rsidRDefault="00F45AED" w:rsidRPr="002B0D3F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lastRenderedPageBreak/>
              <w:t>ENCLOSED</w:t>
            </w:r>
          </w:p>
        </w:tc>
      </w:tr>
      <w:tr w:rsidR="00F45AED" w:rsidRPr="001D21CA" w:rsidTr="006F34F4">
        <w:trPr>
          <w:trHeight w:val="389"/>
        </w:trPr>
        <w:tc>
          <w:tcPr>
            <w:tcW w:type="auto" w:w="0"/>
            <w:vMerge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912FD0" w:rsidR="00F45AED" w:rsidRDefault="00F45AED" w:rsidRPr="002B0D3F">
            <w:pPr>
              <w:spacing w:after="0" w:line="240" w:lineRule="auto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</w:p>
        </w:tc>
      </w:tr>
      <w:tr w:rsidR="00F45AED" w:rsidRPr="000C3218" w:rsidTr="006F34F4">
        <w:trPr>
          <w:trHeight w:val="300"/>
        </w:trPr>
        <w:tc>
          <w:tcPr>
            <w:tcW w:type="auto" w:w="0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F45AED" w:rsidR="00F45AED" w:rsidRDefault="00F45AED" w:rsidRPr="00A43421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sz w:val="24"/>
                <w:szCs w:val="24"/>
                <w:u w:val="single"/>
                <w:lang w:eastAsia="en-GB" w:val="en-GB"/>
              </w:rPr>
            </w:pPr>
            <w:r w:rsidRPr="00A43421">
              <w:rPr>
                <w:b/>
                <w:sz w:val="28"/>
                <w:u w:val="single"/>
                <w:lang w:val="en-GB"/>
              </w:rPr>
              <w:t>A</w:t>
            </w:r>
            <w:r w:rsidRPr="00464CAA">
              <w:rPr>
                <w:b/>
                <w:sz w:val="28"/>
                <w:u w:val="single"/>
                <w:lang w:val="en-GB"/>
              </w:rPr>
              <w:t>mount of the previous pre-financing used to cover costs of the Action</w:t>
            </w:r>
          </w:p>
        </w:tc>
      </w:tr>
      <w:tr w:rsidR="00F45AED" w:rsidRPr="00AF651C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tbl>
            <w:tblPr>
              <w:tblW w:type="dxa" w:w="8714"/>
              <w:tblLook w:firstColumn="1" w:firstRow="1" w:lastColumn="0" w:lastRow="0" w:noHBand="0" w:noVBand="1" w:val="04A0"/>
            </w:tblPr>
            <w:tblGrid>
              <w:gridCol w:w="2268"/>
              <w:gridCol w:w="3588"/>
              <w:gridCol w:w="1429"/>
              <w:gridCol w:w="1429"/>
            </w:tblGrid>
            <w:tr w:rsidR="00F45AED" w:rsidRPr="000C3218" w:rsidTr="00617A89">
              <w:trPr>
                <w:trHeight w:val="315"/>
              </w:trPr>
              <w:tc>
                <w:tcPr>
                  <w:tcW w:type="dxa" w:w="2268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b/>
                      <w:bCs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588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1429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1429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</w:tr>
            <w:tr w:rsidR="00F45AED" w:rsidRPr="00F45AED" w:rsidTr="00617A89">
              <w:trPr>
                <w:trHeight w:val="300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C5009B" w:rsidR="00F45AED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G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F45AED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estimated direct eligible costs </w:t>
                  </w:r>
                  <w:r w:rsidR="00C5009B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incurred </w:t>
                  </w:r>
                  <w:r w:rsidR="00B27515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until the end of the </w:t>
                  </w:r>
                  <w:r w:rsidR="00F45AED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previous reporting period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F45AED" w:rsidRDefault="00E92D77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2,457,100.00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2106A7" w:rsidTr="00617A89">
              <w:trPr>
                <w:trHeight w:val="315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H.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70% of previous pre-financing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payments (=70%*E)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FFE699" w:val="clear"/>
                  <w:vAlign w:val="bottom"/>
                </w:tcPr>
                <w:p w:rsidP="002508C4" w:rsidR="00617A89" w:rsidRDefault="00617A89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1,452,543.75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0C3218" w:rsidTr="00617A89">
              <w:trPr>
                <w:trHeight w:val="315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Condition of 70% fulfilled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(G&gt;=H)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FFE699" w:val="clear"/>
                  <w:vAlign w:val="bottom"/>
                  <w:hideMark/>
                </w:tcPr>
                <w:p w:rsidP="002508C4" w:rsidR="00617A89" w:rsidRDefault="00617A89" w:rsidRPr="000C3218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Yes</w:t>
                  </w:r>
                </w:p>
              </w:tc>
            </w:tr>
            <w:tr w:rsidR="00617A89" w:rsidRPr="00F45AED" w:rsidTr="00617A89">
              <w:trPr>
                <w:trHeight w:val="360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I.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Reduction of further pre-financing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, if G&lt;H (= H-G)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617A89" w:rsidRDefault="00617A89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0.00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</w:tbl>
          <w:p w:rsidP="00464CAA" w:rsidR="00F45AED" w:rsidRDefault="00F45AED" w:rsidRPr="001D21CA">
            <w:pPr>
              <w:pStyle w:val="ListParagrap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  <w:bookmarkStart w:id="1" w:name="_GoBack"/>
        <w:bookmarkEnd w:id="1"/>
      </w:tr>
      <w:tr w:rsidR="00680E22" w:rsidRPr="000C3218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680E22" w:rsidR="00680E22" w:rsidRDefault="00680E22" w:rsidRPr="00A43421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sz w:val="24"/>
                <w:szCs w:val="24"/>
                <w:u w:val="single"/>
                <w:lang w:eastAsia="en-GB" w:val="en-GB"/>
              </w:rPr>
            </w:pPr>
            <w:r w:rsidRPr="00A43421">
              <w:rPr>
                <w:b/>
                <w:sz w:val="28"/>
                <w:u w:val="single"/>
                <w:lang w:val="en-GB"/>
              </w:rPr>
              <w:t>A</w:t>
            </w:r>
            <w:r w:rsidRPr="00464CAA">
              <w:rPr>
                <w:b/>
                <w:sz w:val="28"/>
                <w:u w:val="single"/>
                <w:lang w:val="en-GB"/>
              </w:rPr>
              <w:t xml:space="preserve">mount of </w:t>
            </w:r>
            <w:r w:rsidRPr="00A43421">
              <w:rPr>
                <w:b/>
                <w:sz w:val="28"/>
                <w:u w:val="single"/>
                <w:lang w:val="en-GB"/>
              </w:rPr>
              <w:t>the requested further pre-financing</w:t>
            </w:r>
          </w:p>
        </w:tc>
      </w:tr>
      <w:tr w:rsidR="00680E22" w:rsidRPr="001223F3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tbl>
            <w:tblPr>
              <w:tblW w:type="dxa" w:w="8720"/>
              <w:tblLook w:firstColumn="1" w:firstRow="1" w:lastColumn="0" w:lastRow="0" w:noHBand="0" w:noVBand="1" w:val="04A0"/>
            </w:tblPr>
            <w:tblGrid>
              <w:gridCol w:w="4510"/>
              <w:gridCol w:w="283"/>
              <w:gridCol w:w="2477"/>
              <w:gridCol w:w="237"/>
              <w:gridCol w:w="1213"/>
            </w:tblGrid>
            <w:tr w:rsidR="0071788A" w:rsidRPr="000C3218" w:rsidTr="000C3218">
              <w:trPr>
                <w:gridAfter w:val="1"/>
                <w:wAfter w:type="dxa" w:w="1213"/>
                <w:trHeight w:val="39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b/>
                      <w:bCs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477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37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</w:tr>
            <w:tr w:rsidR="0071788A" w:rsidRPr="0071788A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vAlign w:val="bottom"/>
                  <w:hideMark/>
                </w:tcPr>
                <w:p w:rsidP="00C5009B" w:rsidR="0071788A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J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</w:t>
                  </w:r>
                  <w:r w:rsidR="00C5009B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estimated direct 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costs eligible declared </w:t>
                  </w:r>
                  <w:r w:rsidR="00227F51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until the end of the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on-going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current report period</w:t>
                  </w:r>
                  <w:r w:rsidR="00633B39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C6E0B4" w:val="clear"/>
                  <w:noWrap/>
                  <w:vAlign w:val="bottom"/>
                  <w:hideMark/>
                </w:tcPr>
                <w:p w:rsidP="002508C4" w:rsidR="0071788A" w:rsidRDefault="00824777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4,912,100.00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71788A" w:rsidRPr="002106A7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vAlign w:val="bottom"/>
                  <w:hideMark/>
                </w:tcPr>
                <w:p w:rsidP="00C5009B" w:rsidR="0071788A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K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71788A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cumulated financing needs </w:t>
                  </w:r>
                  <w:r w:rsidR="00227F51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until the end of the 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on-going </w:t>
                  </w:r>
                  <w:r w:rsidR="0071788A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current report period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71788A" w:rsidRDefault="00824777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4,175,285.00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0C3218" w:rsidRPr="002106A7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0C3218" w:rsidRDefault="000C3218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L. 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Further pre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-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financing payment 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(=B*K-E)</w:t>
                  </w:r>
                </w:p>
                <w:p w:rsidP="0071788A" w:rsidR="000C3218" w:rsidRDefault="000C3218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824777" w:rsidR="000C3218" w:rsidRDefault="000C3218" w:rsidRPr="0071788A">
                  <w:pPr>
                    <w:spacing w:after="0" w:line="240" w:lineRule="auto"/>
                    <w:jc w:val="center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0C3218" w:rsidR="000C3218" w:rsidRDefault="000C3218" w:rsidRPr="0050425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12,580.00</w:t>
                  </w:r>
                  <w:r w:rsidRPr="000C3218"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 xml:space="preserve"> </w:t>
                  </w:r>
                  <w:r w:rsidRPr="000C3218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191AE5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61072" w:rsidR="00617A89" w:rsidRDefault="006B6873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L1. 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Revised further pre-financing payment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if the condition of the 70% is not fulfilled – article II.24.1.</w:t>
                  </w:r>
                  <w:r w:rsidR="00661072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3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(L-I)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617A89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617A89" w:rsidRDefault="00F03B7E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12,580.00</w:t>
                  </w:r>
                  <w:r w:rsidR="00617A89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617A89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B6873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6B6873" w:rsidRDefault="006B6873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L2. Revised further pre-financing if the total pre-financing exceeds the maximum pre-financing payment (E+L1&lt;=C)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6B6873" w:rsidRDefault="006B6873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6B6873" w:rsidRDefault="00F03B7E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12,580.00</w:t>
                  </w:r>
                  <w:r w:rsidR="00080EC8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080EC8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AD22DE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AD22DE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L3. Revised further pre-financing if the sum of the pre-financings and interim payments exceeds the ceiling (E+F+L2&lt;=D)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AD22DE" w:rsidRDefault="00F03B7E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12,580.00</w:t>
                  </w:r>
                  <w:r w:rsidR="00080EC8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080EC8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AD22DE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AD22DE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M. Final further pre-financing to be paid (=L3)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AD22DE" w:rsidRDefault="00080EC8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12,580.00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</w:tbl>
          <w:p w:rsidP="00464CAA" w:rsidR="00680E22" w:rsidRDefault="00680E22" w:rsidRPr="001D21CA">
            <w:pPr>
              <w:pStyle w:val="ListParagrap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  <w:tr w:rsidR="00096E2F" w:rsidRPr="000C3218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F158C3" w:rsidR="00F158C3" w:rsidRDefault="00F158C3">
            <w:pPr>
              <w:rPr>
                <w:b/>
                <w:sz w:val="28"/>
                <w:u w:val="single"/>
                <w:lang w:val="en-GB"/>
              </w:rPr>
            </w:pPr>
            <w:r>
              <w:rPr>
                <w:noProof/>
                <w:sz w:val="28"/>
                <w:lang w:val="en-GB"/>
              </w:rPr>
              <w:t/>
            </w:r>
            <w:r w:rsidR="000D3F49">
              <w:rPr>
                <w:noProof/>
                <w:lang w:val="en-GB"/>
              </w:rPr>
              <w:t xml:space="preserve"> </w:t>
            </w:r>
            <w:r w:rsidR="000D3F49" w:rsidRPr="000D3F49">
              <w:rPr>
                <w:noProof/>
                <w:lang w:val="en-GB"/>
              </w:rPr>
              <w:t/>
            </w:r>
          </w:p>
        </w:tc>
      </w:tr>
    </w:tbl>
    <w:p w:rsidP="00077F5F" w:rsidR="00F45AED" w:rsidRDefault="00F45AED">
      <w:pPr>
        <w:jc w:val="both"/>
        <w:rPr>
          <w:sz w:val="28"/>
          <w:lang w:val="en-GB"/>
        </w:rPr>
      </w:pPr>
    </w:p>
    <w:sectPr w:rsidR="00F45AED">
      <w:footerReference r:id="rId9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59" w:rsidRDefault="00B92959" w:rsidP="00BB2006">
      <w:pPr>
        <w:spacing w:after="0" w:line="240" w:lineRule="auto"/>
      </w:pPr>
      <w:r>
        <w:separator/>
      </w:r>
    </w:p>
  </w:endnote>
  <w:endnote w:type="continuationSeparator" w:id="0">
    <w:p w:rsidR="00B92959" w:rsidRDefault="00B92959" w:rsidP="00BB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97751C" w:rsidRDefault="0097751C">
    <w:pPr>
      <w:pStyle w:val="Footer"/>
    </w:pPr>
    <w:r>
      <w:rPr>
        <w:rFonts w:ascii="Verdana" w:cs="Arial" w:eastAsia="Arial" w:hAnsi="Verdana"/>
        <w:noProof/>
        <w:sz w:val="24"/>
        <w:lang w:val="en-GB"/>
      </w:rPr>
      <w:t>2016-SK-TMC-0220-S_ASR2024_1_20240328_0918_Železnice Slovenskej republiky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otnote w:id="-1" w:type="separator">
    <w:p w:rsidP="00BB2006" w:rsidR="00B92959" w:rsidRDefault="00B92959">
      <w:pPr>
        <w:spacing w:after="0" w:line="240" w:lineRule="auto"/>
      </w:pPr>
      <w:r>
        <w:separator/>
      </w:r>
    </w:p>
  </w:footnote>
  <w:footnote w:id="0" w:type="continuationSeparator">
    <w:p w:rsidP="00BB2006" w:rsidR="00B92959" w:rsidRDefault="00B92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D161D1A"/>
    <w:multiLevelType w:val="hybridMultilevel"/>
    <w:tmpl w:val="F356B1F8"/>
    <w:lvl w:ilvl="0" w:tplc="080C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80C0019">
      <w:start w:val="1"/>
      <w:numFmt w:val="lowerLetter"/>
      <w:lvlText w:val="%2."/>
      <w:lvlJc w:val="left"/>
      <w:pPr>
        <w:ind w:hanging="360" w:left="1440"/>
      </w:pPr>
    </w:lvl>
    <w:lvl w:ilvl="2" w:tentative="1" w:tplc="080C001B">
      <w:start w:val="1"/>
      <w:numFmt w:val="lowerRoman"/>
      <w:lvlText w:val="%3."/>
      <w:lvlJc w:val="right"/>
      <w:pPr>
        <w:ind w:hanging="180" w:left="2160"/>
      </w:pPr>
    </w:lvl>
    <w:lvl w:ilvl="3" w:tentative="1" w:tplc="080C000F">
      <w:start w:val="1"/>
      <w:numFmt w:val="decimal"/>
      <w:lvlText w:val="%4."/>
      <w:lvlJc w:val="left"/>
      <w:pPr>
        <w:ind w:hanging="360" w:left="2880"/>
      </w:pPr>
    </w:lvl>
    <w:lvl w:ilvl="4" w:tentative="1" w:tplc="080C0019">
      <w:start w:val="1"/>
      <w:numFmt w:val="lowerLetter"/>
      <w:lvlText w:val="%5."/>
      <w:lvlJc w:val="left"/>
      <w:pPr>
        <w:ind w:hanging="360" w:left="3600"/>
      </w:pPr>
    </w:lvl>
    <w:lvl w:ilvl="5" w:tentative="1" w:tplc="080C001B">
      <w:start w:val="1"/>
      <w:numFmt w:val="lowerRoman"/>
      <w:lvlText w:val="%6."/>
      <w:lvlJc w:val="right"/>
      <w:pPr>
        <w:ind w:hanging="180" w:left="4320"/>
      </w:pPr>
    </w:lvl>
    <w:lvl w:ilvl="6" w:tentative="1" w:tplc="080C000F">
      <w:start w:val="1"/>
      <w:numFmt w:val="decimal"/>
      <w:lvlText w:val="%7."/>
      <w:lvlJc w:val="left"/>
      <w:pPr>
        <w:ind w:hanging="360" w:left="5040"/>
      </w:pPr>
    </w:lvl>
    <w:lvl w:ilvl="7" w:tentative="1" w:tplc="080C0019">
      <w:start w:val="1"/>
      <w:numFmt w:val="lowerLetter"/>
      <w:lvlText w:val="%8."/>
      <w:lvlJc w:val="left"/>
      <w:pPr>
        <w:ind w:hanging="360" w:left="5760"/>
      </w:pPr>
    </w:lvl>
    <w:lvl w:ilvl="8" w:tentative="1" w:tplc="080C001B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nsid w:val="22570B24"/>
    <w:multiLevelType w:val="hybridMultilevel"/>
    <w:tmpl w:val="229068B2"/>
    <w:lvl w:ilvl="0" w:tplc="08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8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8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:abstractNumId="2">
    <w:nsid w:val="7095666C"/>
    <w:multiLevelType w:val="hybridMultilevel"/>
    <w:tmpl w:val="F7E0D386"/>
    <w:lvl w:ilvl="0" w:tplc="08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8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8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20"/>
  <w:proofState w:grammar="clean" w:spelling="clean"/>
  <w:documentProtection w:enforcement="1" w:edit="readOnly" w:salt="iFYwDHeizr9rlO1bx9a76w==" w:hash="AySNGVcRbKLhyG1Tj4nBlnka+ic=" w:cryptSpinCount="100000" w:cryptAlgorithmType="typeAny" w:cryptAlgorithmClass="hash" w:cryptProviderType="rsaFull" w:cryptAlgorithmSid="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55162"/>
    <w:rsid w:val="00017973"/>
    <w:rsid w:val="00030479"/>
    <w:rsid w:val="00030E57"/>
    <w:rsid w:val="00055248"/>
    <w:rsid w:val="00061E97"/>
    <w:rsid w:val="00077F5F"/>
    <w:rsid w:val="00080EC8"/>
    <w:rsid w:val="00096E2F"/>
    <w:rsid w:val="000B4766"/>
    <w:rsid w:val="000C3218"/>
    <w:rsid w:val="000D3F49"/>
    <w:rsid w:val="000E2405"/>
    <w:rsid w:val="000E6AA3"/>
    <w:rsid w:val="000E7B36"/>
    <w:rsid w:val="000F28E1"/>
    <w:rsid w:val="00112195"/>
    <w:rsid w:val="001223F3"/>
    <w:rsid w:val="00123CA3"/>
    <w:rsid w:val="00140E67"/>
    <w:rsid w:val="001676DA"/>
    <w:rsid w:val="0018392E"/>
    <w:rsid w:val="00191AE5"/>
    <w:rsid w:val="001A10EE"/>
    <w:rsid w:val="001C5801"/>
    <w:rsid w:val="001D21CA"/>
    <w:rsid w:val="001E0033"/>
    <w:rsid w:val="001F1A7D"/>
    <w:rsid w:val="002078AB"/>
    <w:rsid w:val="002106A7"/>
    <w:rsid w:val="00220BCF"/>
    <w:rsid w:val="00227F51"/>
    <w:rsid w:val="002508C4"/>
    <w:rsid w:val="0025305C"/>
    <w:rsid w:val="0028100A"/>
    <w:rsid w:val="00281E24"/>
    <w:rsid w:val="00291A23"/>
    <w:rsid w:val="002E1905"/>
    <w:rsid w:val="002F6489"/>
    <w:rsid w:val="00332CAC"/>
    <w:rsid w:val="00357F76"/>
    <w:rsid w:val="003611C5"/>
    <w:rsid w:val="00362BBB"/>
    <w:rsid w:val="00382E08"/>
    <w:rsid w:val="003860DB"/>
    <w:rsid w:val="003A391F"/>
    <w:rsid w:val="003B2740"/>
    <w:rsid w:val="003B79AD"/>
    <w:rsid w:val="003E7D60"/>
    <w:rsid w:val="003F4F69"/>
    <w:rsid w:val="00423CF2"/>
    <w:rsid w:val="004341FC"/>
    <w:rsid w:val="004353E5"/>
    <w:rsid w:val="00457265"/>
    <w:rsid w:val="0046367A"/>
    <w:rsid w:val="00463914"/>
    <w:rsid w:val="004646B0"/>
    <w:rsid w:val="00464A1F"/>
    <w:rsid w:val="00464CAA"/>
    <w:rsid w:val="004737BB"/>
    <w:rsid w:val="0048265A"/>
    <w:rsid w:val="0048623C"/>
    <w:rsid w:val="00487172"/>
    <w:rsid w:val="004E7247"/>
    <w:rsid w:val="00504253"/>
    <w:rsid w:val="00515A41"/>
    <w:rsid w:val="00544021"/>
    <w:rsid w:val="00550BBD"/>
    <w:rsid w:val="00555162"/>
    <w:rsid w:val="005579D0"/>
    <w:rsid w:val="005831D9"/>
    <w:rsid w:val="005C4EDD"/>
    <w:rsid w:val="006041FF"/>
    <w:rsid w:val="00617A89"/>
    <w:rsid w:val="00617D3D"/>
    <w:rsid w:val="00633B39"/>
    <w:rsid w:val="00661072"/>
    <w:rsid w:val="006701F7"/>
    <w:rsid w:val="00676899"/>
    <w:rsid w:val="00680E22"/>
    <w:rsid w:val="00685274"/>
    <w:rsid w:val="006B02C6"/>
    <w:rsid w:val="006B6873"/>
    <w:rsid w:val="006C0A98"/>
    <w:rsid w:val="006C50C3"/>
    <w:rsid w:val="006F07C1"/>
    <w:rsid w:val="006F34F4"/>
    <w:rsid w:val="00713F0B"/>
    <w:rsid w:val="0071788A"/>
    <w:rsid w:val="00725EAB"/>
    <w:rsid w:val="00764081"/>
    <w:rsid w:val="007833A2"/>
    <w:rsid w:val="007855D2"/>
    <w:rsid w:val="007B5487"/>
    <w:rsid w:val="007D6872"/>
    <w:rsid w:val="007E522B"/>
    <w:rsid w:val="00803B64"/>
    <w:rsid w:val="00806DAF"/>
    <w:rsid w:val="00824777"/>
    <w:rsid w:val="00825863"/>
    <w:rsid w:val="00826A31"/>
    <w:rsid w:val="0083182B"/>
    <w:rsid w:val="00860350"/>
    <w:rsid w:val="00867AAA"/>
    <w:rsid w:val="008803DF"/>
    <w:rsid w:val="00884FC6"/>
    <w:rsid w:val="00895C43"/>
    <w:rsid w:val="008970E5"/>
    <w:rsid w:val="008973FE"/>
    <w:rsid w:val="008A4EFE"/>
    <w:rsid w:val="008B033C"/>
    <w:rsid w:val="008D2B9D"/>
    <w:rsid w:val="008E748B"/>
    <w:rsid w:val="00904D5C"/>
    <w:rsid w:val="00912FD0"/>
    <w:rsid w:val="00926234"/>
    <w:rsid w:val="0092737C"/>
    <w:rsid w:val="009307CD"/>
    <w:rsid w:val="0097751C"/>
    <w:rsid w:val="009802AA"/>
    <w:rsid w:val="009B233B"/>
    <w:rsid w:val="009C6067"/>
    <w:rsid w:val="009E283A"/>
    <w:rsid w:val="009E3CF0"/>
    <w:rsid w:val="00A124DF"/>
    <w:rsid w:val="00A125EC"/>
    <w:rsid w:val="00A1468D"/>
    <w:rsid w:val="00A22C66"/>
    <w:rsid w:val="00A24CB4"/>
    <w:rsid w:val="00A344EF"/>
    <w:rsid w:val="00A43421"/>
    <w:rsid w:val="00A51CE4"/>
    <w:rsid w:val="00A53E39"/>
    <w:rsid w:val="00A53F97"/>
    <w:rsid w:val="00AC5347"/>
    <w:rsid w:val="00AC59B0"/>
    <w:rsid w:val="00AD22DE"/>
    <w:rsid w:val="00AD608E"/>
    <w:rsid w:val="00AE2448"/>
    <w:rsid w:val="00AE38D7"/>
    <w:rsid w:val="00AE7C02"/>
    <w:rsid w:val="00AF05A7"/>
    <w:rsid w:val="00AF651C"/>
    <w:rsid w:val="00B17929"/>
    <w:rsid w:val="00B27515"/>
    <w:rsid w:val="00B40AB3"/>
    <w:rsid w:val="00B92959"/>
    <w:rsid w:val="00BA5F1D"/>
    <w:rsid w:val="00BB0028"/>
    <w:rsid w:val="00BB2006"/>
    <w:rsid w:val="00BC049F"/>
    <w:rsid w:val="00BC08A4"/>
    <w:rsid w:val="00BF0E3E"/>
    <w:rsid w:val="00BF57A7"/>
    <w:rsid w:val="00C1005D"/>
    <w:rsid w:val="00C144C7"/>
    <w:rsid w:val="00C464A7"/>
    <w:rsid w:val="00C5009B"/>
    <w:rsid w:val="00C87C30"/>
    <w:rsid w:val="00CD2B90"/>
    <w:rsid w:val="00CD46BB"/>
    <w:rsid w:val="00CD649A"/>
    <w:rsid w:val="00D07BFB"/>
    <w:rsid w:val="00D120A1"/>
    <w:rsid w:val="00D348BD"/>
    <w:rsid w:val="00D35250"/>
    <w:rsid w:val="00D47E5E"/>
    <w:rsid w:val="00D634AD"/>
    <w:rsid w:val="00D6567F"/>
    <w:rsid w:val="00E366C3"/>
    <w:rsid w:val="00E40A0A"/>
    <w:rsid w:val="00E46D08"/>
    <w:rsid w:val="00E56D28"/>
    <w:rsid w:val="00E92D77"/>
    <w:rsid w:val="00EA40CE"/>
    <w:rsid w:val="00EB569D"/>
    <w:rsid w:val="00EC4E30"/>
    <w:rsid w:val="00F03B7E"/>
    <w:rsid w:val="00F158C3"/>
    <w:rsid w:val="00F27A94"/>
    <w:rsid w:val="00F42738"/>
    <w:rsid w:val="00F45AED"/>
    <w:rsid w:val="00F62CEA"/>
    <w:rsid w:val="00F7683B"/>
    <w:rsid w:val="00F76D3C"/>
    <w:rsid w:val="00F850C5"/>
    <w:rsid w:val="00F85106"/>
    <w:rsid w:val="00F873A2"/>
    <w:rsid w:val="00F95AB9"/>
    <w:rsid w:val="00FA44A9"/>
    <w:rsid w:val="00FB426A"/>
    <w:rsid w:val="00FC78A9"/>
    <w:rsid w:val="00FD3B77"/>
    <w:rsid w:val="00FE2415"/>
    <w:rsid w:val="00FE3FA3"/>
    <w:rsid w:val="00F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BE"/>
      </w:rPr>
    </w:rPrDefault>
    <w:pPrDefault>
      <w:pPr>
        <w:spacing w:after="160" w:line="259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3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ListParagraph" w:type="paragraph">
    <w:name w:val="List Paragraph"/>
    <w:basedOn w:val="Normal"/>
    <w:uiPriority w:val="34"/>
    <w:qFormat/>
    <w:rsid w:val="0025305C"/>
    <w:pPr>
      <w:ind w:left="720"/>
      <w:contextualSpacing/>
    </w:pPr>
  </w:style>
  <w:style w:styleId="TableGrid" w:type="table">
    <w:name w:val="Table Grid"/>
    <w:basedOn w:val="TableNormal"/>
    <w:uiPriority w:val="39"/>
    <w:rsid w:val="000E7B3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BalloonText" w:type="paragraph">
    <w:name w:val="Balloon Text"/>
    <w:basedOn w:val="Normal"/>
    <w:link w:val="BalloonTextChar"/>
    <w:uiPriority w:val="99"/>
    <w:semiHidden/>
    <w:unhideWhenUsed/>
    <w:rsid w:val="00BC08A4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BC08A4"/>
    <w:rPr>
      <w:rFonts w:ascii="Tahoma" w:cs="Tahoma" w:hAnsi="Tahoma"/>
      <w:sz w:val="16"/>
      <w:szCs w:val="16"/>
    </w:rPr>
  </w:style>
  <w:style w:styleId="Revision" w:type="paragraph">
    <w:name w:val="Revision"/>
    <w:hidden/>
    <w:uiPriority w:val="99"/>
    <w:semiHidden/>
    <w:rsid w:val="008973FE"/>
    <w:pPr>
      <w:spacing w:after="0" w:line="240" w:lineRule="auto"/>
    </w:pPr>
  </w:style>
  <w:style w:styleId="CommentReference" w:type="character">
    <w:name w:val="annotation reference"/>
    <w:basedOn w:val="DefaultParagraphFont"/>
    <w:uiPriority w:val="99"/>
    <w:semiHidden/>
    <w:unhideWhenUsed/>
    <w:rsid w:val="002106A7"/>
    <w:rPr>
      <w:sz w:val="16"/>
      <w:szCs w:val="16"/>
    </w:rPr>
  </w:style>
  <w:style w:styleId="CommentText" w:type="paragraph">
    <w:name w:val="annotation text"/>
    <w:basedOn w:val="Normal"/>
    <w:link w:val="CommentTextChar"/>
    <w:uiPriority w:val="99"/>
    <w:semiHidden/>
    <w:unhideWhenUsed/>
    <w:rsid w:val="002106A7"/>
    <w:pPr>
      <w:spacing w:line="240" w:lineRule="auto"/>
    </w:pPr>
    <w:rPr>
      <w:sz w:val="20"/>
      <w:szCs w:val="20"/>
    </w:rPr>
  </w:style>
  <w:style w:customStyle="1" w:styleId="CommentTextChar" w:type="character">
    <w:name w:val="Comment Text Char"/>
    <w:basedOn w:val="DefaultParagraphFont"/>
    <w:link w:val="CommentText"/>
    <w:uiPriority w:val="99"/>
    <w:semiHidden/>
    <w:rsid w:val="002106A7"/>
    <w:rPr>
      <w:sz w:val="20"/>
      <w:szCs w:val="20"/>
    </w:rPr>
  </w:style>
  <w:style w:styleId="CommentSubject" w:type="paragraph">
    <w:name w:val="annotation subject"/>
    <w:basedOn w:val="CommentText"/>
    <w:next w:val="CommentText"/>
    <w:link w:val="CommentSubjectChar"/>
    <w:uiPriority w:val="99"/>
    <w:semiHidden/>
    <w:unhideWhenUsed/>
    <w:rsid w:val="002106A7"/>
    <w:rPr>
      <w:b/>
      <w:bCs/>
    </w:rPr>
  </w:style>
  <w:style w:customStyle="1" w:styleId="CommentSubjectChar" w:type="character">
    <w:name w:val="Comment Subject Char"/>
    <w:basedOn w:val="CommentTextChar"/>
    <w:link w:val="CommentSubject"/>
    <w:uiPriority w:val="99"/>
    <w:semiHidden/>
    <w:rsid w:val="002106A7"/>
    <w:rPr>
      <w:b/>
      <w:bCs/>
      <w:sz w:val="20"/>
      <w:szCs w:val="20"/>
    </w:rPr>
  </w:style>
  <w:style w:styleId="HTMLPreformatted" w:type="paragraph">
    <w:name w:val="HTML Preformatted"/>
    <w:basedOn w:val="Normal"/>
    <w:link w:val="HTMLPreformattedChar"/>
    <w:uiPriority w:val="99"/>
    <w:unhideWhenUsed/>
    <w:rsid w:val="00464A1F"/>
    <w:pPr>
      <w:tabs>
        <w:tab w:pos="916" w:val="left"/>
        <w:tab w:pos="1832" w:val="left"/>
        <w:tab w:pos="2748" w:val="left"/>
        <w:tab w:pos="3664" w:val="left"/>
        <w:tab w:pos="4580" w:val="left"/>
        <w:tab w:pos="5496" w:val="left"/>
        <w:tab w:pos="6412" w:val="left"/>
        <w:tab w:pos="7328" w:val="left"/>
        <w:tab w:pos="8244" w:val="left"/>
        <w:tab w:pos="9160" w:val="left"/>
        <w:tab w:pos="10076" w:val="left"/>
        <w:tab w:pos="10992" w:val="left"/>
        <w:tab w:pos="11908" w:val="left"/>
        <w:tab w:pos="12824" w:val="left"/>
        <w:tab w:pos="13740" w:val="left"/>
        <w:tab w:pos="14656" w:val="left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en-GB" w:val="en-GB"/>
    </w:rPr>
  </w:style>
  <w:style w:customStyle="1" w:styleId="HTMLPreformattedChar" w:type="character">
    <w:name w:val="HTML Preformatted Char"/>
    <w:basedOn w:val="DefaultParagraphFont"/>
    <w:link w:val="HTMLPreformatted"/>
    <w:uiPriority w:val="99"/>
    <w:rsid w:val="00464A1F"/>
    <w:rPr>
      <w:rFonts w:ascii="Courier New" w:cs="Courier New" w:eastAsia="Times New Roman" w:hAnsi="Courier New"/>
      <w:sz w:val="20"/>
      <w:szCs w:val="20"/>
      <w:lang w:eastAsia="en-GB" w:val="en-GB"/>
    </w:rPr>
  </w:style>
  <w:style w:styleId="Header" w:type="paragraph">
    <w:name w:val="header"/>
    <w:basedOn w:val="Normal"/>
    <w:link w:val="HeaderChar"/>
    <w:uiPriority w:val="99"/>
    <w:unhideWhenUsed/>
    <w:rsid w:val="00BB2006"/>
    <w:pPr>
      <w:tabs>
        <w:tab w:pos="4513" w:val="center"/>
        <w:tab w:pos="9026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9"/>
    <w:rsid w:val="00BB2006"/>
  </w:style>
  <w:style w:styleId="Footer" w:type="paragraph">
    <w:name w:val="footer"/>
    <w:basedOn w:val="Normal"/>
    <w:link w:val="FooterChar"/>
    <w:uiPriority w:val="99"/>
    <w:unhideWhenUsed/>
    <w:rsid w:val="00BB2006"/>
    <w:pPr>
      <w:tabs>
        <w:tab w:pos="4513" w:val="center"/>
        <w:tab w:pos="9026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9"/>
    <w:rsid w:val="00BB2006"/>
  </w:style>
  <w:style w:styleId="NoSpacing" w:type="paragraph">
    <w:name w:val="No Spacing"/>
    <w:uiPriority w:val="1"/>
    <w:qFormat/>
    <w:rsid w:val="006B02C6"/>
    <w:pPr>
      <w:spacing w:after="0" w:line="240" w:lineRule="auto"/>
    </w:pPr>
  </w:style>
  <w:style w:styleId="XDocReport_Hyperlink" w:type="character">
    <w:name w:val="Hyperlink"/>
    <!-- <w:basedOn w:val="Policepardfaut" /> -->
    <w:uiPriority w:val="99"/>
    <w:unhideWhenUsed/>
    <!-- <w:rsid w:val="00CB4FF3" /> -->
    <w:rPr>
      <w:color w:themeColor="hyperlink" w:val="0000FF"/>
      <w:u w:val="single"/>
    </w:rPr>
  </w:style>
  <w:style w:styleId="XDocReport_Heading_1" w:type="paragraph">
    <w:name w:val="heading 1"/>
    <w:uiPriority w:val="9"/>
    <w:rsid w:val="00285B63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XDocReport_Heading_2" w:type="paragraph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XDocReport_Heading_3" w:type="paragraph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XDocReport_Heading_4" w:type="paragraph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XDocReport_Heading_5" w:type="paragraph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XDocReport_Heading_6" w:type="paragraph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05C"/>
    <w:pPr>
      <w:ind w:left="720"/>
      <w:contextualSpacing/>
    </w:pPr>
  </w:style>
  <w:style w:type="table" w:styleId="TableGrid">
    <w:name w:val="Table Grid"/>
    <w:basedOn w:val="TableNormal"/>
    <w:uiPriority w:val="39"/>
    <w:rsid w:val="000E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0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8A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973F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106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6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6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6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6A7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6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4A1F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BB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006"/>
  </w:style>
  <w:style w:type="paragraph" w:styleId="Footer">
    <w:name w:val="footer"/>
    <w:basedOn w:val="Normal"/>
    <w:link w:val="FooterChar"/>
    <w:uiPriority w:val="99"/>
    <w:unhideWhenUsed/>
    <w:rsid w:val="00BB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006"/>
  </w:style>
  <w:style w:type="paragraph" w:styleId="NoSpacing">
    <w:name w:val="No Spacing"/>
    <w:uiPriority w:val="1"/>
    <w:qFormat/>
    <w:rsid w:val="006B02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ntTable.xml" Type="http://schemas.openxmlformats.org/officeDocument/2006/relationships/fontTable"/>
<Relationship Id="rId11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tylesWithEffects.xml" Type="http://schemas.microsoft.com/office/2007/relationships/stylesWithEffects"/>
<Relationship Id="rId5" Target="settings.xml" Type="http://schemas.openxmlformats.org/officeDocument/2006/relationships/settings"/>
<Relationship Id="rId6" Target="webSettings.xml" Type="http://schemas.openxmlformats.org/officeDocument/2006/relationships/webSettings"/>
<Relationship Id="rId7" Target="footnotes.xml" Type="http://schemas.openxmlformats.org/officeDocument/2006/relationships/footnotes"/>
<Relationship Id="rId8" Target="endnotes.xml" Type="http://schemas.openxmlformats.org/officeDocument/2006/relationships/endnotes"/>
<Relationship Id="rId9" Target="footer1.xml" Type="http://schemas.openxmlformats.org/officeDocument/2006/relationships/footer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D083-B642-4933-8C04-FB717D62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baseType="lpstr" size="2">
      <vt:lpstr/>
      <vt:lpstr/>
    </vt:vector>
  </TitlesOfParts>
  <Company>European Commission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2016-02-10T12:47:00Z</dcterms:created>
  <dc:creator>François Léon</dc:creator>
  <cp:lastModifiedBy>CIRNARU Constantin (INEA)</cp:lastModifiedBy>
  <cp:lastPrinted>2016-02-10T13:34:00Z</cp:lastPrinted>
  <dcterms:modified xsi:type="dcterms:W3CDTF">2018-12-04T17:31:00Z</dcterms:modified>
  <cp:revision>101</cp:revision>
</cp:coreProperties>
</file>