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5A8E1FC3"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BA48D3" w:rsidRPr="00BA48D3">
        <w:rPr>
          <w:rFonts w:asciiTheme="minorHAnsi" w:hAnsiTheme="minorHAnsi" w:cstheme="minorHAnsi"/>
          <w:sz w:val="22"/>
          <w:szCs w:val="22"/>
        </w:rPr>
        <w:t>Drevené objekty pre voľný chov dobytka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259CE313"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661C10" w:rsidRPr="00661C10">
        <w:rPr>
          <w:rFonts w:ascii="Calibri" w:hAnsi="Calibri" w:cs="Calibri"/>
          <w:b/>
          <w:sz w:val="22"/>
          <w:szCs w:val="22"/>
        </w:rPr>
        <w:t>Boris Samuelčík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39D9959A" w:rsidR="007156E4" w:rsidRPr="007156E4" w:rsidRDefault="007156E4" w:rsidP="00661C10">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661C10" w:rsidRPr="00661C10">
        <w:rPr>
          <w:rFonts w:ascii="Calibri" w:hAnsi="Calibri" w:cs="Calibri"/>
          <w:color w:val="000000"/>
          <w:sz w:val="22"/>
          <w:szCs w:val="22"/>
        </w:rPr>
        <w:t>Radničné námestie 1/1</w:t>
      </w:r>
      <w:r w:rsidR="00661C10">
        <w:rPr>
          <w:rFonts w:ascii="Calibri" w:hAnsi="Calibri" w:cs="Calibri"/>
          <w:color w:val="000000"/>
          <w:sz w:val="22"/>
          <w:szCs w:val="22"/>
        </w:rPr>
        <w:t xml:space="preserve">, </w:t>
      </w:r>
      <w:r w:rsidR="00661C10" w:rsidRPr="00661C10">
        <w:rPr>
          <w:rFonts w:ascii="Calibri" w:hAnsi="Calibri" w:cs="Calibri"/>
          <w:color w:val="000000"/>
          <w:sz w:val="22"/>
          <w:szCs w:val="22"/>
        </w:rPr>
        <w:t>969</w:t>
      </w:r>
      <w:r w:rsidR="00661C10">
        <w:rPr>
          <w:rFonts w:ascii="Calibri" w:hAnsi="Calibri" w:cs="Calibri"/>
          <w:color w:val="000000"/>
          <w:sz w:val="22"/>
          <w:szCs w:val="22"/>
        </w:rPr>
        <w:t xml:space="preserve"> </w:t>
      </w:r>
      <w:r w:rsidR="00661C10" w:rsidRPr="00661C10">
        <w:rPr>
          <w:rFonts w:ascii="Calibri" w:hAnsi="Calibri" w:cs="Calibri"/>
          <w:color w:val="000000"/>
          <w:sz w:val="22"/>
          <w:szCs w:val="22"/>
        </w:rPr>
        <w:t>01 Banská Štiavnica</w:t>
      </w:r>
    </w:p>
    <w:p w14:paraId="44233DBD" w14:textId="39E90AD0"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661C10" w:rsidRPr="00661C10">
        <w:rPr>
          <w:rFonts w:ascii="Calibri" w:hAnsi="Calibri" w:cs="Calibri"/>
          <w:color w:val="000000"/>
          <w:sz w:val="22"/>
          <w:szCs w:val="22"/>
        </w:rPr>
        <w:t>Boris Samuelčík</w:t>
      </w:r>
      <w:r w:rsidRPr="007156E4">
        <w:rPr>
          <w:rFonts w:ascii="Calibri" w:hAnsi="Calibri" w:cs="Calibri"/>
          <w:color w:val="000000"/>
          <w:sz w:val="22"/>
          <w:szCs w:val="22"/>
        </w:rPr>
        <w:t xml:space="preserve">, </w:t>
      </w:r>
      <w:r w:rsidR="00661C10">
        <w:rPr>
          <w:rFonts w:ascii="Calibri" w:hAnsi="Calibri" w:cs="Calibri"/>
          <w:color w:val="000000"/>
          <w:sz w:val="22"/>
          <w:szCs w:val="22"/>
        </w:rPr>
        <w:t>SHR</w:t>
      </w:r>
    </w:p>
    <w:p w14:paraId="519D69BB" w14:textId="46C4CC8E"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661C10" w:rsidRPr="00661C10">
        <w:rPr>
          <w:rFonts w:ascii="Calibri" w:hAnsi="Calibri" w:cs="Calibri"/>
          <w:color w:val="000000"/>
          <w:sz w:val="22"/>
          <w:szCs w:val="22"/>
        </w:rPr>
        <w:t>55261230</w:t>
      </w:r>
    </w:p>
    <w:p w14:paraId="1EEE06CC" w14:textId="2AECAB99"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C17156" w:rsidRPr="00C17156">
        <w:rPr>
          <w:rFonts w:ascii="Calibri" w:hAnsi="Calibri" w:cs="Calibri"/>
          <w:color w:val="000000"/>
          <w:sz w:val="22"/>
          <w:szCs w:val="22"/>
        </w:rPr>
        <w:t>1082409097</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6E303A7" w14:textId="44373DB4" w:rsidR="003446D2" w:rsidRPr="00C67B5C" w:rsidRDefault="003446D2" w:rsidP="00BA48D3">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BA48D3" w:rsidRPr="00BA48D3">
        <w:rPr>
          <w:rFonts w:asciiTheme="minorHAnsi" w:hAnsiTheme="minorHAnsi" w:cstheme="minorHAnsi"/>
          <w:sz w:val="22"/>
          <w:szCs w:val="22"/>
        </w:rPr>
        <w:t>Drevené objekty pre voľný chov dobytka</w:t>
      </w:r>
    </w:p>
    <w:p w14:paraId="0E100A9E" w14:textId="52572C78"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Pr="0043068A">
        <w:rPr>
          <w:rFonts w:ascii="Calibri" w:hAnsi="Calibri" w:cs="Calibri"/>
          <w:color w:val="000000"/>
          <w:sz w:val="22"/>
          <w:szCs w:val="22"/>
        </w:rPr>
        <w:t xml:space="preserve">č. parc. </w:t>
      </w:r>
      <w:r w:rsidR="00A70700">
        <w:rPr>
          <w:rFonts w:asciiTheme="minorHAnsi" w:hAnsiTheme="minorHAnsi" w:cstheme="minorHAnsi"/>
          <w:sz w:val="22"/>
          <w:szCs w:val="22"/>
        </w:rPr>
        <w:t>7571/1, 7571/2</w:t>
      </w:r>
    </w:p>
    <w:p w14:paraId="187406EC" w14:textId="53088460"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A70700">
        <w:rPr>
          <w:rFonts w:ascii="Calibri" w:hAnsi="Calibri" w:cs="Calibri"/>
          <w:color w:val="000000"/>
          <w:sz w:val="22"/>
          <w:szCs w:val="22"/>
        </w:rPr>
        <w:t>Banská Štiavnica</w:t>
      </w:r>
    </w:p>
    <w:p w14:paraId="363A5610" w14:textId="216C9B4D"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A70700" w:rsidRPr="00A70700">
        <w:rPr>
          <w:rFonts w:ascii="Calibri" w:hAnsi="Calibri" w:cs="Calibri"/>
          <w:color w:val="000000"/>
          <w:sz w:val="22"/>
          <w:szCs w:val="22"/>
        </w:rPr>
        <w:t>Boris Samuelčík</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53573C2E" w:rsidR="00B14E93" w:rsidRPr="005623F0" w:rsidRDefault="00B14E93" w:rsidP="005623F0">
      <w:pPr>
        <w:pStyle w:val="Standard"/>
        <w:numPr>
          <w:ilvl w:val="0"/>
          <w:numId w:val="2"/>
        </w:numPr>
        <w:ind w:left="426" w:hanging="426"/>
        <w:jc w:val="both"/>
        <w:rPr>
          <w:rFonts w:ascii="Calibri" w:hAnsi="Calibri" w:cs="Calibri"/>
          <w:color w:val="000000"/>
          <w:sz w:val="22"/>
          <w:szCs w:val="22"/>
        </w:rPr>
      </w:pPr>
      <w:r w:rsidRPr="005623F0">
        <w:rPr>
          <w:rFonts w:ascii="Calibri" w:hAnsi="Calibri" w:cs="Calibri"/>
          <w:color w:val="000000"/>
          <w:sz w:val="22"/>
          <w:szCs w:val="22"/>
        </w:rPr>
        <w:t>Predmetom tejto zmluvy je zhotovenie diela – stavby „</w:t>
      </w:r>
      <w:r w:rsidR="00BA48D3" w:rsidRPr="00BA48D3">
        <w:rPr>
          <w:rFonts w:ascii="Calibri" w:hAnsi="Calibri" w:cs="Calibri"/>
          <w:color w:val="000000"/>
          <w:sz w:val="22"/>
          <w:szCs w:val="22"/>
        </w:rPr>
        <w:t>Drevené objekty pre voľný chov dobytka</w:t>
      </w:r>
      <w:r w:rsidRPr="005623F0">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69D481C5"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B11757">
        <w:rPr>
          <w:rFonts w:ascii="Calibri" w:hAnsi="Calibri" w:cs="Calibri"/>
          <w:color w:val="000000"/>
          <w:sz w:val="22"/>
          <w:szCs w:val="22"/>
        </w:rPr>
        <w:t>3</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 xml:space="preserve">znení neskorších zmien a doplnkov. V prípade zmeny materiálov alebo na vyžiadanie </w:t>
      </w:r>
      <w:r w:rsidRPr="00DA7783">
        <w:rPr>
          <w:rFonts w:ascii="Calibri" w:hAnsi="Calibri" w:cs="Calibri"/>
          <w:color w:val="000000"/>
          <w:sz w:val="22"/>
          <w:szCs w:val="22"/>
        </w:rPr>
        <w:lastRenderedPageBreak/>
        <w:t>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lastRenderedPageBreak/>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w:t>
      </w:r>
      <w:r w:rsidRPr="00DA7783">
        <w:rPr>
          <w:rFonts w:ascii="Calibri" w:hAnsi="Calibri" w:cs="Calibri"/>
          <w:color w:val="000000"/>
          <w:sz w:val="22"/>
          <w:szCs w:val="22"/>
        </w:rPr>
        <w:lastRenderedPageBreak/>
        <w:t>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lastRenderedPageBreak/>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 xml:space="preserve">Zmluva o dielo nadobúda platnosť dňom podpísania oprávnenými zástupcami zmluvných strán a nadobudne účinnosť až po ukončení kontroly obstarávania (po doručení správy z kontroly obstarávania </w:t>
      </w:r>
      <w:r w:rsidRPr="006002E1">
        <w:rPr>
          <w:rFonts w:ascii="Calibri" w:hAnsi="Calibri" w:cs="Calibri"/>
          <w:color w:val="000000"/>
          <w:sz w:val="22"/>
          <w:szCs w:val="22"/>
        </w:rPr>
        <w:lastRenderedPageBreak/>
        <w:t>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3E61A612"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045471">
        <w:rPr>
          <w:rFonts w:ascii="Calibri" w:hAnsi="Calibri" w:cs="Calibri"/>
          <w:color w:val="000000"/>
          <w:sz w:val="22"/>
          <w:szCs w:val="22"/>
        </w:rPr>
        <w:t>Boris Samuelčík</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4FEE1BAD"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045471">
        <w:rPr>
          <w:rFonts w:ascii="Calibri" w:hAnsi="Calibri" w:cs="Calibri"/>
          <w:color w:val="000000"/>
          <w:sz w:val="22"/>
          <w:szCs w:val="22"/>
        </w:rPr>
        <w:t>Banská Štiavnica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5E5F2EBD"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045471">
        <w:rPr>
          <w:rFonts w:ascii="Calibri" w:hAnsi="Calibri"/>
          <w:sz w:val="24"/>
          <w:szCs w:val="24"/>
        </w:rPr>
        <w:t>Boris Samuelčík</w:t>
      </w:r>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4044674A"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045471">
        <w:rPr>
          <w:rFonts w:ascii="Calibri" w:hAnsi="Calibri"/>
          <w:sz w:val="22"/>
          <w:szCs w:val="22"/>
        </w:rPr>
        <w:t>SHR</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F139" w14:textId="77777777" w:rsidR="00146501" w:rsidRDefault="00146501">
      <w:r>
        <w:separator/>
      </w:r>
    </w:p>
  </w:endnote>
  <w:endnote w:type="continuationSeparator" w:id="0">
    <w:p w14:paraId="63971B65" w14:textId="77777777" w:rsidR="00146501" w:rsidRDefault="0014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160D" w14:textId="77777777" w:rsidR="00146501" w:rsidRDefault="00146501">
      <w:r>
        <w:separator/>
      </w:r>
    </w:p>
  </w:footnote>
  <w:footnote w:type="continuationSeparator" w:id="0">
    <w:p w14:paraId="7ACFF055" w14:textId="77777777" w:rsidR="00146501" w:rsidRDefault="0014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13382"/>
    <w:rsid w:val="00021A45"/>
    <w:rsid w:val="00037CCC"/>
    <w:rsid w:val="00045206"/>
    <w:rsid w:val="00045471"/>
    <w:rsid w:val="00084FDE"/>
    <w:rsid w:val="00087C31"/>
    <w:rsid w:val="000C5DBC"/>
    <w:rsid w:val="000D4887"/>
    <w:rsid w:val="000F3C14"/>
    <w:rsid w:val="00117179"/>
    <w:rsid w:val="00132262"/>
    <w:rsid w:val="001413A2"/>
    <w:rsid w:val="00144EDC"/>
    <w:rsid w:val="00146501"/>
    <w:rsid w:val="00151186"/>
    <w:rsid w:val="001628F6"/>
    <w:rsid w:val="00191A94"/>
    <w:rsid w:val="00192625"/>
    <w:rsid w:val="001D47F2"/>
    <w:rsid w:val="002540A8"/>
    <w:rsid w:val="00256896"/>
    <w:rsid w:val="00284B6D"/>
    <w:rsid w:val="00290C4E"/>
    <w:rsid w:val="002978EB"/>
    <w:rsid w:val="00302796"/>
    <w:rsid w:val="003051AE"/>
    <w:rsid w:val="00305652"/>
    <w:rsid w:val="0033653F"/>
    <w:rsid w:val="003446D2"/>
    <w:rsid w:val="003477F4"/>
    <w:rsid w:val="0035584D"/>
    <w:rsid w:val="00364E8B"/>
    <w:rsid w:val="0039319A"/>
    <w:rsid w:val="0039380D"/>
    <w:rsid w:val="003A5F7C"/>
    <w:rsid w:val="003C2CEB"/>
    <w:rsid w:val="003C352B"/>
    <w:rsid w:val="0041686E"/>
    <w:rsid w:val="0043068A"/>
    <w:rsid w:val="004445CE"/>
    <w:rsid w:val="004557E9"/>
    <w:rsid w:val="00482D59"/>
    <w:rsid w:val="004E0486"/>
    <w:rsid w:val="004E1261"/>
    <w:rsid w:val="004E492D"/>
    <w:rsid w:val="004F5584"/>
    <w:rsid w:val="005014F3"/>
    <w:rsid w:val="00501AA6"/>
    <w:rsid w:val="0051723A"/>
    <w:rsid w:val="0053431D"/>
    <w:rsid w:val="00547C9A"/>
    <w:rsid w:val="005623F0"/>
    <w:rsid w:val="005813E5"/>
    <w:rsid w:val="00581E90"/>
    <w:rsid w:val="005A0161"/>
    <w:rsid w:val="005A7F53"/>
    <w:rsid w:val="005C65D1"/>
    <w:rsid w:val="005D2F2F"/>
    <w:rsid w:val="006002E1"/>
    <w:rsid w:val="00601C0F"/>
    <w:rsid w:val="006030D2"/>
    <w:rsid w:val="00646D1C"/>
    <w:rsid w:val="00657453"/>
    <w:rsid w:val="00661C10"/>
    <w:rsid w:val="0067411F"/>
    <w:rsid w:val="00684AA2"/>
    <w:rsid w:val="006918FD"/>
    <w:rsid w:val="006E0ED2"/>
    <w:rsid w:val="00706086"/>
    <w:rsid w:val="007156E4"/>
    <w:rsid w:val="00755453"/>
    <w:rsid w:val="00765C10"/>
    <w:rsid w:val="0077627B"/>
    <w:rsid w:val="00776F60"/>
    <w:rsid w:val="007935DA"/>
    <w:rsid w:val="00796515"/>
    <w:rsid w:val="007B0D48"/>
    <w:rsid w:val="007B41F0"/>
    <w:rsid w:val="007C17DA"/>
    <w:rsid w:val="007C520E"/>
    <w:rsid w:val="007D05A6"/>
    <w:rsid w:val="007D3E23"/>
    <w:rsid w:val="007D55DA"/>
    <w:rsid w:val="007D5864"/>
    <w:rsid w:val="007E4E8A"/>
    <w:rsid w:val="00802193"/>
    <w:rsid w:val="00824A81"/>
    <w:rsid w:val="00843447"/>
    <w:rsid w:val="008471DD"/>
    <w:rsid w:val="008564B9"/>
    <w:rsid w:val="00863EB8"/>
    <w:rsid w:val="00866B12"/>
    <w:rsid w:val="0088147B"/>
    <w:rsid w:val="008975C8"/>
    <w:rsid w:val="008B1C03"/>
    <w:rsid w:val="008C7441"/>
    <w:rsid w:val="008E0D42"/>
    <w:rsid w:val="009057B9"/>
    <w:rsid w:val="00922C8B"/>
    <w:rsid w:val="00932698"/>
    <w:rsid w:val="00933BF4"/>
    <w:rsid w:val="00934862"/>
    <w:rsid w:val="00967DBB"/>
    <w:rsid w:val="00975DC2"/>
    <w:rsid w:val="00993B87"/>
    <w:rsid w:val="009D47BC"/>
    <w:rsid w:val="009E3EEE"/>
    <w:rsid w:val="009E5F6F"/>
    <w:rsid w:val="00A270E7"/>
    <w:rsid w:val="00A31F07"/>
    <w:rsid w:val="00A45082"/>
    <w:rsid w:val="00A47ED3"/>
    <w:rsid w:val="00A50DE9"/>
    <w:rsid w:val="00A53386"/>
    <w:rsid w:val="00A677EB"/>
    <w:rsid w:val="00A70700"/>
    <w:rsid w:val="00A72027"/>
    <w:rsid w:val="00A87773"/>
    <w:rsid w:val="00A90101"/>
    <w:rsid w:val="00A97ED1"/>
    <w:rsid w:val="00AB5B53"/>
    <w:rsid w:val="00AD6CD1"/>
    <w:rsid w:val="00AE316E"/>
    <w:rsid w:val="00B11757"/>
    <w:rsid w:val="00B14E93"/>
    <w:rsid w:val="00B2133B"/>
    <w:rsid w:val="00B2452D"/>
    <w:rsid w:val="00B45EBE"/>
    <w:rsid w:val="00BA2ACC"/>
    <w:rsid w:val="00BA48D3"/>
    <w:rsid w:val="00BC5127"/>
    <w:rsid w:val="00BC5B0C"/>
    <w:rsid w:val="00BC7C87"/>
    <w:rsid w:val="00BE2080"/>
    <w:rsid w:val="00BF2C82"/>
    <w:rsid w:val="00C03851"/>
    <w:rsid w:val="00C04611"/>
    <w:rsid w:val="00C07713"/>
    <w:rsid w:val="00C11284"/>
    <w:rsid w:val="00C17156"/>
    <w:rsid w:val="00C24A73"/>
    <w:rsid w:val="00C36FC0"/>
    <w:rsid w:val="00C44D8B"/>
    <w:rsid w:val="00C450E7"/>
    <w:rsid w:val="00C52D3A"/>
    <w:rsid w:val="00C53612"/>
    <w:rsid w:val="00C6443C"/>
    <w:rsid w:val="00C66811"/>
    <w:rsid w:val="00C67B5C"/>
    <w:rsid w:val="00C71B00"/>
    <w:rsid w:val="00C809D8"/>
    <w:rsid w:val="00C83BFC"/>
    <w:rsid w:val="00C9006A"/>
    <w:rsid w:val="00C927C8"/>
    <w:rsid w:val="00CA3594"/>
    <w:rsid w:val="00CB4C3C"/>
    <w:rsid w:val="00CB6D2A"/>
    <w:rsid w:val="00D41A79"/>
    <w:rsid w:val="00DA26D1"/>
    <w:rsid w:val="00DB2921"/>
    <w:rsid w:val="00DB7359"/>
    <w:rsid w:val="00DC0355"/>
    <w:rsid w:val="00DD03AE"/>
    <w:rsid w:val="00DD0D34"/>
    <w:rsid w:val="00DD6EF3"/>
    <w:rsid w:val="00DF09A1"/>
    <w:rsid w:val="00E16BEB"/>
    <w:rsid w:val="00E22B0B"/>
    <w:rsid w:val="00E22F5C"/>
    <w:rsid w:val="00E26463"/>
    <w:rsid w:val="00E33686"/>
    <w:rsid w:val="00E37A74"/>
    <w:rsid w:val="00E8432A"/>
    <w:rsid w:val="00E948DB"/>
    <w:rsid w:val="00EB4E8D"/>
    <w:rsid w:val="00EC0370"/>
    <w:rsid w:val="00EC11F6"/>
    <w:rsid w:val="00EC28A3"/>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13</Pages>
  <Words>5446</Words>
  <Characters>31043</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135</cp:revision>
  <dcterms:created xsi:type="dcterms:W3CDTF">2017-05-03T14:45:00Z</dcterms:created>
  <dcterms:modified xsi:type="dcterms:W3CDTF">2025-02-18T15:08:00Z</dcterms:modified>
</cp:coreProperties>
</file>