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044DD63B"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AE3AB2">
        <w:rPr>
          <w:rFonts w:ascii="Garamond" w:hAnsi="Garamond"/>
          <w:color w:val="000000" w:themeColor="text1"/>
          <w:sz w:val="22"/>
          <w:szCs w:val="22"/>
        </w:rPr>
        <w:t>„</w:t>
      </w:r>
      <w:r w:rsidR="00AE3AB2" w:rsidRPr="00F339CF">
        <w:rPr>
          <w:rFonts w:ascii="Garamond" w:hAnsi="Garamond"/>
          <w:b/>
          <w:bCs/>
        </w:rPr>
        <w:t xml:space="preserve">Oprava sociálnych zariadení v objekte ĽÚT – II.NP /1.poschodie/ areál Jurajov dvor </w:t>
      </w:r>
      <w:r w:rsidR="00AE3AB2" w:rsidRPr="000D3F4D">
        <w:rPr>
          <w:rFonts w:ascii="Garamond" w:hAnsi="Garamond"/>
          <w:b/>
          <w:bCs/>
        </w:rPr>
        <w:t>_</w:t>
      </w:r>
      <w:r w:rsidR="00AE3AB2">
        <w:rPr>
          <w:rFonts w:ascii="Garamond" w:hAnsi="Garamond"/>
          <w:b/>
          <w:bCs/>
        </w:rPr>
        <w:t>02</w:t>
      </w:r>
      <w:r w:rsidR="00AE3AB2" w:rsidRPr="000D3F4D">
        <w:rPr>
          <w:rFonts w:ascii="Garamond" w:hAnsi="Garamond"/>
          <w:b/>
          <w:bCs/>
        </w:rPr>
        <w:t>_202</w:t>
      </w:r>
      <w:r w:rsidR="00AE3AB2">
        <w:rPr>
          <w:rFonts w:ascii="Garamond" w:hAnsi="Garamond"/>
          <w:b/>
          <w:bCs/>
        </w:rPr>
        <w:t>5</w:t>
      </w:r>
      <w:r w:rsidR="00366ABD">
        <w:rPr>
          <w:rFonts w:ascii="Garamond" w:hAnsi="Garamond"/>
          <w:color w:val="000000" w:themeColor="text1"/>
          <w:sz w:val="22"/>
          <w:szCs w:val="22"/>
        </w:rPr>
        <w:t>“</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48260E">
        <w:rPr>
          <w:rFonts w:ascii="Garamond" w:hAnsi="Garamond"/>
          <w:color w:val="000000" w:themeColor="text1"/>
          <w:sz w:val="22"/>
          <w:szCs w:val="22"/>
        </w:rPr>
        <w:t>05.05.2025</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AB91AE8" w14:textId="7CFF9FF7" w:rsidR="00A77D0E" w:rsidRDefault="00A77D0E" w:rsidP="00F82D6A">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w:t>
      </w:r>
      <w:bookmarkStart w:id="12" w:name="_Hlk150351143"/>
      <w:r w:rsidR="00F82D6A">
        <w:rPr>
          <w:rFonts w:ascii="Garamond" w:hAnsi="Garamond" w:cs="Arial"/>
          <w:color w:val="000000" w:themeColor="text1"/>
          <w:sz w:val="22"/>
          <w:szCs w:val="22"/>
        </w:rPr>
        <w:t>[</w:t>
      </w:r>
      <w:r w:rsidR="00AE3AB2">
        <w:rPr>
          <w:rFonts w:ascii="Garamond" w:hAnsi="Garamond" w:cs="Arial"/>
          <w:color w:val="000000" w:themeColor="text1"/>
          <w:sz w:val="22"/>
          <w:szCs w:val="22"/>
          <w:highlight w:val="yellow"/>
        </w:rPr>
        <w:t>doplní sa príloha č. 1 výzvy na predloženie cenovej ponuky a prípadné vysvetlenia / zmeny</w:t>
      </w:r>
      <w:r w:rsidR="00F82D6A" w:rsidRPr="00F82D6A">
        <w:rPr>
          <w:rFonts w:ascii="Garamond" w:hAnsi="Garamond" w:cs="Arial"/>
          <w:color w:val="000000" w:themeColor="text1"/>
          <w:sz w:val="22"/>
          <w:szCs w:val="22"/>
          <w:highlight w:val="yellow"/>
        </w:rPr>
        <w:t>]</w:t>
      </w:r>
    </w:p>
    <w:p w14:paraId="71758254" w14:textId="77777777" w:rsidR="00F82D6A" w:rsidRDefault="00F82D6A" w:rsidP="00F82D6A">
      <w:pPr>
        <w:widowControl w:val="0"/>
        <w:rPr>
          <w:rFonts w:ascii="Garamond" w:hAnsi="Garamond" w:cs="Arial"/>
          <w:color w:val="000000" w:themeColor="text1"/>
          <w:sz w:val="22"/>
          <w:szCs w:val="22"/>
        </w:rPr>
      </w:pPr>
    </w:p>
    <w:p w14:paraId="79D27EC9" w14:textId="77777777" w:rsidR="00F82D6A" w:rsidRDefault="00F82D6A" w:rsidP="00F82D6A">
      <w:pPr>
        <w:widowControl w:val="0"/>
        <w:rPr>
          <w:rFonts w:ascii="Garamond" w:hAnsi="Garamond" w:cs="Arial"/>
          <w:color w:val="000000" w:themeColor="text1"/>
          <w:sz w:val="22"/>
          <w:szCs w:val="22"/>
        </w:rPr>
      </w:pPr>
    </w:p>
    <w:p w14:paraId="0A3F16F4" w14:textId="77777777" w:rsidR="00F82D6A" w:rsidRDefault="00F82D6A" w:rsidP="00F82D6A">
      <w:pPr>
        <w:widowControl w:val="0"/>
        <w:rPr>
          <w:rFonts w:ascii="Garamond" w:hAnsi="Garamond" w:cs="Arial"/>
          <w:color w:val="000000" w:themeColor="text1"/>
          <w:sz w:val="22"/>
          <w:szCs w:val="22"/>
        </w:rPr>
      </w:pPr>
    </w:p>
    <w:p w14:paraId="715A2AD3" w14:textId="77777777" w:rsidR="00F82D6A" w:rsidRDefault="00F82D6A" w:rsidP="00F82D6A">
      <w:pPr>
        <w:widowControl w:val="0"/>
        <w:rPr>
          <w:rFonts w:ascii="Garamond" w:hAnsi="Garamond" w:cs="Arial"/>
          <w:color w:val="000000" w:themeColor="text1"/>
          <w:sz w:val="22"/>
          <w:szCs w:val="22"/>
        </w:rPr>
      </w:pPr>
    </w:p>
    <w:p w14:paraId="56C3A58E" w14:textId="77777777" w:rsidR="00F82D6A" w:rsidRDefault="00F82D6A" w:rsidP="00F82D6A">
      <w:pPr>
        <w:widowControl w:val="0"/>
        <w:rPr>
          <w:rFonts w:ascii="Garamond" w:hAnsi="Garamond" w:cs="Arial"/>
          <w:color w:val="000000" w:themeColor="text1"/>
          <w:sz w:val="22"/>
          <w:szCs w:val="22"/>
        </w:rPr>
      </w:pPr>
    </w:p>
    <w:p w14:paraId="2480C044" w14:textId="77777777" w:rsidR="00F82D6A" w:rsidRDefault="00F82D6A" w:rsidP="00F82D6A">
      <w:pPr>
        <w:widowControl w:val="0"/>
        <w:rPr>
          <w:rFonts w:ascii="Garamond" w:hAnsi="Garamond" w:cs="Arial"/>
          <w:color w:val="000000" w:themeColor="text1"/>
          <w:sz w:val="22"/>
          <w:szCs w:val="22"/>
        </w:rPr>
      </w:pPr>
    </w:p>
    <w:p w14:paraId="5F039A09" w14:textId="77777777" w:rsidR="00F82D6A" w:rsidRDefault="00F82D6A" w:rsidP="00F82D6A">
      <w:pPr>
        <w:widowControl w:val="0"/>
        <w:rPr>
          <w:rFonts w:ascii="Garamond" w:hAnsi="Garamond" w:cs="Arial"/>
          <w:color w:val="000000" w:themeColor="text1"/>
          <w:sz w:val="22"/>
          <w:szCs w:val="22"/>
        </w:rPr>
      </w:pPr>
    </w:p>
    <w:p w14:paraId="74F3B728" w14:textId="77777777" w:rsidR="00F82D6A" w:rsidRDefault="00F82D6A" w:rsidP="00F82D6A">
      <w:pPr>
        <w:widowControl w:val="0"/>
        <w:rPr>
          <w:rFonts w:ascii="Garamond" w:hAnsi="Garamond" w:cs="Arial"/>
          <w:color w:val="000000" w:themeColor="text1"/>
          <w:sz w:val="22"/>
          <w:szCs w:val="22"/>
        </w:rPr>
      </w:pPr>
    </w:p>
    <w:p w14:paraId="332B1A0F" w14:textId="77777777" w:rsidR="00F82D6A" w:rsidRDefault="00F82D6A" w:rsidP="00F82D6A">
      <w:pPr>
        <w:widowControl w:val="0"/>
        <w:rPr>
          <w:rFonts w:ascii="Garamond" w:hAnsi="Garamond" w:cs="Arial"/>
          <w:color w:val="000000" w:themeColor="text1"/>
          <w:sz w:val="22"/>
          <w:szCs w:val="22"/>
        </w:rPr>
      </w:pPr>
    </w:p>
    <w:p w14:paraId="2AE082A8" w14:textId="77777777" w:rsidR="00F82D6A" w:rsidRPr="005D09F2" w:rsidRDefault="00F82D6A" w:rsidP="00F82D6A">
      <w:pPr>
        <w:widowControl w:val="0"/>
        <w:rPr>
          <w:rFonts w:ascii="Garamond" w:hAnsi="Garamond" w:cs="Arial"/>
          <w:strike/>
          <w:color w:val="000000" w:themeColor="text1"/>
          <w:sz w:val="22"/>
          <w:szCs w:val="22"/>
        </w:rPr>
      </w:pPr>
    </w:p>
    <w:bookmarkEnd w:id="12"/>
    <w:p w14:paraId="5A4A1357" w14:textId="77777777" w:rsidR="00A77D0E" w:rsidRPr="00A77D0E" w:rsidRDefault="00A77D0E" w:rsidP="00A77D0E">
      <w:pPr>
        <w:widowControl w:val="0"/>
        <w:rPr>
          <w:rFonts w:ascii="Garamond" w:hAnsi="Garamond" w:cs="Arial"/>
          <w:color w:val="000000" w:themeColor="text1"/>
          <w:sz w:val="22"/>
          <w:szCs w:val="22"/>
        </w:rPr>
      </w:pPr>
    </w:p>
    <w:p w14:paraId="66D4E15F" w14:textId="15C64103" w:rsidR="00A77D0E" w:rsidRPr="00AE3AB2" w:rsidRDefault="00A77D0E" w:rsidP="00A77D0E">
      <w:pPr>
        <w:widowControl w:val="0"/>
        <w:rPr>
          <w:rFonts w:ascii="Garamond" w:hAnsi="Garamond" w:cs="Arial"/>
          <w:color w:val="000000" w:themeColor="text1"/>
          <w:sz w:val="22"/>
          <w:szCs w:val="22"/>
        </w:rPr>
      </w:pPr>
      <w:r w:rsidRPr="00AE3AB2">
        <w:rPr>
          <w:rFonts w:ascii="Garamond" w:hAnsi="Garamond" w:cs="Arial"/>
          <w:color w:val="000000" w:themeColor="text1"/>
          <w:sz w:val="22"/>
          <w:szCs w:val="22"/>
        </w:rPr>
        <w:t>Bližšia špecifikácia tvorí samostatnú časť tejto prílohy:</w:t>
      </w:r>
      <w:r w:rsidR="00F82D6A" w:rsidRPr="00AE3AB2">
        <w:rPr>
          <w:rFonts w:ascii="Garamond" w:hAnsi="Garamond" w:cs="Arial"/>
          <w:color w:val="000000" w:themeColor="text1"/>
          <w:sz w:val="22"/>
          <w:szCs w:val="22"/>
        </w:rPr>
        <w:t xml:space="preserve"> [doplniť]</w:t>
      </w:r>
    </w:p>
    <w:p w14:paraId="5887C6A8" w14:textId="77777777" w:rsidR="00A77D0E" w:rsidRPr="00AE3AB2" w:rsidRDefault="00A77D0E" w:rsidP="00A77D0E">
      <w:pPr>
        <w:widowControl w:val="0"/>
        <w:rPr>
          <w:rFonts w:ascii="Garamond" w:hAnsi="Garamond" w:cs="Arial"/>
          <w:color w:val="000000" w:themeColor="text1"/>
          <w:sz w:val="22"/>
          <w:szCs w:val="22"/>
        </w:rPr>
      </w:pPr>
      <w:r w:rsidRPr="00AE3AB2">
        <w:rPr>
          <w:rFonts w:ascii="Garamond" w:hAnsi="Garamond" w:cs="Arial"/>
          <w:color w:val="000000" w:themeColor="text1"/>
          <w:sz w:val="22"/>
          <w:szCs w:val="22"/>
        </w:rPr>
        <w:t>● Príloha 1A - Výkaz Výmer  Bude doplnené podľa ponuky Zhotoviteľa vrátane jeho prípadného vysvetľovania (podľa vzoru prílohy 1A výzvy na predloženie ponuky)</w:t>
      </w:r>
    </w:p>
    <w:p w14:paraId="0FD6E184" w14:textId="6BDCFB03" w:rsidR="00A77D0E" w:rsidRPr="00AE3AB2" w:rsidRDefault="00A77D0E" w:rsidP="00A77D0E">
      <w:pPr>
        <w:widowControl w:val="0"/>
        <w:rPr>
          <w:rFonts w:ascii="Garamond" w:hAnsi="Garamond" w:cs="Arial"/>
          <w:color w:val="000000" w:themeColor="text1"/>
          <w:sz w:val="22"/>
          <w:szCs w:val="22"/>
        </w:rPr>
      </w:pPr>
    </w:p>
    <w:p w14:paraId="6A28B42D" w14:textId="171C4F4B" w:rsidR="00C134C6" w:rsidRPr="00AE3AB2" w:rsidRDefault="00A77D0E" w:rsidP="00A77D0E">
      <w:pPr>
        <w:widowControl w:val="0"/>
        <w:rPr>
          <w:rFonts w:ascii="Garamond" w:hAnsi="Garamond" w:cs="Arial"/>
          <w:color w:val="000000" w:themeColor="text1"/>
          <w:sz w:val="22"/>
          <w:szCs w:val="22"/>
        </w:rPr>
      </w:pPr>
      <w:r w:rsidRPr="00AE3AB2">
        <w:rPr>
          <w:rFonts w:ascii="Garamond" w:hAnsi="Garamond" w:cs="Arial"/>
          <w:color w:val="000000" w:themeColor="text1"/>
          <w:sz w:val="22"/>
          <w:szCs w:val="22"/>
        </w:rPr>
        <w:t xml:space="preserve">● Príloha 1B – </w:t>
      </w:r>
      <w:r w:rsidR="00AE3AB2" w:rsidRPr="00AE3AB2">
        <w:rPr>
          <w:rFonts w:ascii="Garamond" w:hAnsi="Garamond" w:cs="Arial"/>
          <w:color w:val="000000" w:themeColor="text1"/>
          <w:sz w:val="22"/>
          <w:szCs w:val="22"/>
        </w:rPr>
        <w:t xml:space="preserve">Pôdorys priestorov SZ v ĽÚT – II.NP /1.poschodie/, pôvodná PD   z r. 1999 </w:t>
      </w:r>
      <w:r w:rsidR="00CC39BE" w:rsidRPr="00AE3AB2">
        <w:rPr>
          <w:rFonts w:ascii="Garamond" w:hAnsi="Garamond" w:cs="Arial"/>
          <w:color w:val="000000" w:themeColor="text1"/>
          <w:sz w:val="22"/>
          <w:szCs w:val="22"/>
        </w:rPr>
        <w:t>(podľa vzoru prílohy 1B výzvy na predloženie ponuky)</w:t>
      </w:r>
    </w:p>
    <w:p w14:paraId="10F44795" w14:textId="77777777" w:rsidR="003D2AD2" w:rsidRPr="00AE3AB2" w:rsidRDefault="003D2AD2" w:rsidP="00A77D0E">
      <w:pPr>
        <w:widowControl w:val="0"/>
        <w:rPr>
          <w:rFonts w:ascii="Garamond" w:hAnsi="Garamond" w:cs="Arial"/>
          <w:color w:val="000000" w:themeColor="text1"/>
          <w:sz w:val="22"/>
          <w:szCs w:val="22"/>
        </w:rPr>
      </w:pPr>
    </w:p>
    <w:p w14:paraId="29BECD7A" w14:textId="6483E1D1" w:rsidR="003D2AD2" w:rsidRDefault="003D2AD2" w:rsidP="003D2AD2">
      <w:pPr>
        <w:widowControl w:val="0"/>
        <w:rPr>
          <w:rFonts w:ascii="Garamond" w:hAnsi="Garamond" w:cs="Arial"/>
          <w:color w:val="000000" w:themeColor="text1"/>
          <w:sz w:val="22"/>
          <w:szCs w:val="22"/>
        </w:rPr>
      </w:pPr>
      <w:r w:rsidRPr="00AE3AB2">
        <w:rPr>
          <w:rFonts w:ascii="Garamond" w:hAnsi="Garamond" w:cs="Arial"/>
          <w:color w:val="000000" w:themeColor="text1"/>
          <w:sz w:val="22"/>
          <w:szCs w:val="22"/>
        </w:rPr>
        <w:t xml:space="preserve">● Príloha 1C – </w:t>
      </w:r>
      <w:r w:rsidR="00AE3AB2" w:rsidRPr="00AE3AB2">
        <w:rPr>
          <w:rFonts w:ascii="Garamond" w:hAnsi="Garamond" w:cs="Arial"/>
          <w:color w:val="000000" w:themeColor="text1"/>
          <w:sz w:val="22"/>
          <w:szCs w:val="22"/>
        </w:rPr>
        <w:t xml:space="preserve">Pôdorys priestorov SZ v ĽÚT – II.NP /1.poschodie/, s vyznačením  šatní, spŕch </w:t>
      </w:r>
      <w:r w:rsidR="00CC39BE" w:rsidRPr="00AE3AB2">
        <w:rPr>
          <w:rFonts w:ascii="Garamond" w:hAnsi="Garamond" w:cs="Arial"/>
          <w:color w:val="000000" w:themeColor="text1"/>
          <w:sz w:val="22"/>
          <w:szCs w:val="22"/>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A45CF7" w:rsidRDefault="009426A5" w:rsidP="009426A5">
      <w:pPr>
        <w:keepNext/>
        <w:keepLines/>
        <w:autoSpaceDE w:val="0"/>
        <w:autoSpaceDN w:val="0"/>
        <w:adjustRightInd w:val="0"/>
        <w:jc w:val="both"/>
        <w:rPr>
          <w:rFonts w:ascii="Garamond" w:hAnsi="Garamond"/>
          <w:color w:val="FF0000"/>
          <w:sz w:val="22"/>
          <w:szCs w:val="22"/>
          <w:highlight w:val="yellow"/>
        </w:rPr>
      </w:pPr>
      <w:r w:rsidRPr="00A45CF7">
        <w:rPr>
          <w:rFonts w:ascii="Garamond" w:hAnsi="Garamond"/>
          <w:color w:val="000000" w:themeColor="text1"/>
          <w:sz w:val="22"/>
          <w:szCs w:val="22"/>
          <w:highlight w:val="yellow"/>
        </w:rPr>
        <w:t>Rozsah zákazky zahŕňa aj zabezpečenie všetkých náležitostí potrebných k užívaniu hotového Diela</w:t>
      </w:r>
      <w:r w:rsidR="00E467E3" w:rsidRPr="00A45CF7">
        <w:rPr>
          <w:rFonts w:ascii="Garamond" w:hAnsi="Garamond"/>
          <w:color w:val="000000" w:themeColor="text1"/>
          <w:sz w:val="22"/>
          <w:szCs w:val="22"/>
          <w:highlight w:val="yellow"/>
        </w:rPr>
        <w:t>:</w:t>
      </w:r>
    </w:p>
    <w:p w14:paraId="50AEA73C" w14:textId="77777777" w:rsidR="009426A5" w:rsidRPr="00A45CF7"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65F90586" w14:textId="13438942" w:rsidR="009426A5" w:rsidRPr="00A45CF7"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xml:space="preserve">doklady o spôsobe zhodnotenie resp. zneškodnenie odpadov z vykonaného Diela; </w:t>
      </w:r>
    </w:p>
    <w:p w14:paraId="016CAE5C" w14:textId="77777777" w:rsidR="009426A5" w:rsidRPr="00A45CF7" w:rsidRDefault="009426A5" w:rsidP="009426A5">
      <w:pPr>
        <w:pStyle w:val="Odsekzoznamu"/>
        <w:rPr>
          <w:rFonts w:ascii="Garamond" w:hAnsi="Garamond" w:cs="Arial"/>
          <w:color w:val="000000" w:themeColor="text1"/>
          <w:sz w:val="22"/>
          <w:szCs w:val="22"/>
          <w:highlight w:val="yellow"/>
        </w:rPr>
      </w:pPr>
    </w:p>
    <w:p w14:paraId="20F56692" w14:textId="6849C6ED" w:rsidR="009426A5" w:rsidRPr="00A45CF7"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1B8C9DB" w:rsidR="009426A5" w:rsidRPr="00A77D0E" w:rsidRDefault="00F82D6A" w:rsidP="009426A5">
      <w:pPr>
        <w:keepNext/>
        <w:keepLines/>
        <w:autoSpaceDE w:val="0"/>
        <w:autoSpaceDN w:val="0"/>
        <w:adjustRightInd w:val="0"/>
        <w:jc w:val="both"/>
        <w:rPr>
          <w:rFonts w:ascii="Garamond" w:hAnsi="Garamond"/>
          <w:color w:val="000000" w:themeColor="text1"/>
          <w:sz w:val="22"/>
          <w:szCs w:val="22"/>
          <w:highlight w:val="yellow"/>
        </w:rPr>
      </w:pPr>
      <w:r>
        <w:rPr>
          <w:rFonts w:ascii="Garamond" w:hAnsi="Garamond" w:cs="Arial"/>
          <w:color w:val="000000" w:themeColor="text1"/>
          <w:sz w:val="22"/>
          <w:szCs w:val="22"/>
        </w:rPr>
        <w:t>[</w:t>
      </w:r>
      <w:r w:rsidRPr="00F82D6A">
        <w:rPr>
          <w:rFonts w:ascii="Garamond" w:hAnsi="Garamond" w:cs="Arial"/>
          <w:color w:val="000000" w:themeColor="text1"/>
          <w:sz w:val="22"/>
          <w:szCs w:val="22"/>
          <w:highlight w:val="yellow"/>
        </w:rPr>
        <w:t>doplniť]</w:t>
      </w: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36A6"/>
    <w:rsid w:val="00343AA5"/>
    <w:rsid w:val="00344572"/>
    <w:rsid w:val="0034579E"/>
    <w:rsid w:val="00347C32"/>
    <w:rsid w:val="00350D0F"/>
    <w:rsid w:val="00351177"/>
    <w:rsid w:val="00352B6D"/>
    <w:rsid w:val="00354CCC"/>
    <w:rsid w:val="00355A0B"/>
    <w:rsid w:val="00360EA0"/>
    <w:rsid w:val="00361777"/>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8422</Words>
  <Characters>48009</Characters>
  <Application>Microsoft Office Word</Application>
  <DocSecurity>0</DocSecurity>
  <Lines>400</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4</cp:revision>
  <cp:lastPrinted>2025-01-10T10:50:00Z</cp:lastPrinted>
  <dcterms:created xsi:type="dcterms:W3CDTF">2025-04-28T05:59:00Z</dcterms:created>
  <dcterms:modified xsi:type="dcterms:W3CDTF">2025-05-05T05:37:00Z</dcterms:modified>
</cp:coreProperties>
</file>