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Look w:val="01E0" w:firstRow="1" w:lastRow="1" w:firstColumn="1" w:lastColumn="1" w:noHBand="0" w:noVBand="0"/>
      </w:tblPr>
      <w:tblGrid>
        <w:gridCol w:w="2373"/>
        <w:gridCol w:w="6699"/>
      </w:tblGrid>
      <w:tr w:rsidR="000006E7" w:rsidRPr="000006E7" w14:paraId="1E1A011F" w14:textId="77777777" w:rsidTr="000006E7">
        <w:tc>
          <w:tcPr>
            <w:tcW w:w="1308" w:type="pct"/>
            <w:shd w:val="clear" w:color="auto" w:fill="auto"/>
          </w:tcPr>
          <w:p w14:paraId="6C73079A" w14:textId="6CA87C2C" w:rsidR="000006E7" w:rsidRPr="000006E7" w:rsidRDefault="000006E7" w:rsidP="000006E7">
            <w:pPr>
              <w:spacing w:after="0" w:line="360" w:lineRule="auto"/>
              <w:rPr>
                <w:rFonts w:cs="Arial"/>
                <w:szCs w:val="20"/>
              </w:rPr>
            </w:pPr>
            <w:r w:rsidRPr="000006E7">
              <w:rPr>
                <w:rFonts w:cs="Arial"/>
              </w:rPr>
              <w:t>Obchodné meno:</w:t>
            </w:r>
          </w:p>
        </w:tc>
        <w:tc>
          <w:tcPr>
            <w:tcW w:w="3692" w:type="pct"/>
          </w:tcPr>
          <w:p w14:paraId="13F7A24C" w14:textId="11301BD8" w:rsidR="000006E7" w:rsidRPr="000006E7" w:rsidRDefault="000006E7" w:rsidP="000006E7">
            <w:pPr>
              <w:spacing w:after="0" w:line="360" w:lineRule="auto"/>
              <w:jc w:val="both"/>
              <w:rPr>
                <w:rFonts w:cs="Arial"/>
                <w:szCs w:val="20"/>
              </w:rPr>
            </w:pPr>
            <w:r w:rsidRPr="000006E7">
              <w:rPr>
                <w:rFonts w:cs="Arial"/>
              </w:rPr>
              <w:t>LESY Slovenskej republiky, štátny podnik</w:t>
            </w:r>
          </w:p>
        </w:tc>
      </w:tr>
      <w:tr w:rsidR="000006E7" w:rsidRPr="000006E7" w14:paraId="2FF52C6C" w14:textId="77777777" w:rsidTr="000006E7">
        <w:tc>
          <w:tcPr>
            <w:tcW w:w="1308" w:type="pct"/>
            <w:shd w:val="clear" w:color="auto" w:fill="auto"/>
          </w:tcPr>
          <w:p w14:paraId="66A9CEFC" w14:textId="53011321" w:rsidR="000006E7" w:rsidRPr="000006E7" w:rsidRDefault="000006E7" w:rsidP="000006E7">
            <w:pPr>
              <w:spacing w:after="0" w:line="360" w:lineRule="auto"/>
              <w:rPr>
                <w:rFonts w:cs="Arial"/>
                <w:szCs w:val="20"/>
              </w:rPr>
            </w:pPr>
            <w:r w:rsidRPr="000006E7">
              <w:rPr>
                <w:rFonts w:cs="Arial"/>
              </w:rPr>
              <w:t>Sídlo:</w:t>
            </w:r>
          </w:p>
        </w:tc>
        <w:tc>
          <w:tcPr>
            <w:tcW w:w="3692" w:type="pct"/>
          </w:tcPr>
          <w:p w14:paraId="1B7699C0" w14:textId="3859840D" w:rsidR="000006E7" w:rsidRPr="000006E7" w:rsidRDefault="000006E7" w:rsidP="000006E7">
            <w:pPr>
              <w:pStyle w:val="Normlny1"/>
              <w:tabs>
                <w:tab w:val="left" w:pos="1620"/>
                <w:tab w:val="left" w:pos="3402"/>
              </w:tabs>
              <w:spacing w:line="360" w:lineRule="auto"/>
              <w:ind w:right="12"/>
              <w:rPr>
                <w:rFonts w:ascii="Arial" w:hAnsi="Arial" w:cs="Arial"/>
              </w:rPr>
            </w:pPr>
            <w:r w:rsidRPr="000006E7">
              <w:rPr>
                <w:rFonts w:ascii="Arial" w:hAnsi="Arial" w:cs="Arial"/>
              </w:rPr>
              <w:t>Námestie SNP 8, 975 66 Banská Bystrica</w:t>
            </w:r>
          </w:p>
        </w:tc>
      </w:tr>
      <w:tr w:rsidR="000006E7" w:rsidRPr="000006E7" w14:paraId="5C041472" w14:textId="77777777" w:rsidTr="000006E7">
        <w:tc>
          <w:tcPr>
            <w:tcW w:w="1308" w:type="pct"/>
            <w:shd w:val="clear" w:color="auto" w:fill="auto"/>
          </w:tcPr>
          <w:p w14:paraId="6BB6049F" w14:textId="71453477" w:rsidR="000006E7" w:rsidRPr="000006E7" w:rsidRDefault="000006E7" w:rsidP="000006E7">
            <w:pPr>
              <w:spacing w:after="0" w:line="360" w:lineRule="auto"/>
              <w:rPr>
                <w:rFonts w:cs="Arial"/>
                <w:szCs w:val="20"/>
              </w:rPr>
            </w:pPr>
            <w:r w:rsidRPr="000006E7">
              <w:rPr>
                <w:rFonts w:cs="Arial"/>
              </w:rPr>
              <w:t>Organizačná zložka:</w:t>
            </w:r>
          </w:p>
        </w:tc>
        <w:tc>
          <w:tcPr>
            <w:tcW w:w="3692" w:type="pct"/>
          </w:tcPr>
          <w:p w14:paraId="40DC3C5A" w14:textId="5BC567C7" w:rsidR="000006E7" w:rsidRPr="000006E7" w:rsidRDefault="000006E7" w:rsidP="000006E7">
            <w:pPr>
              <w:spacing w:after="0" w:line="360" w:lineRule="auto"/>
              <w:jc w:val="both"/>
              <w:rPr>
                <w:rFonts w:cs="Arial"/>
                <w:b/>
                <w:szCs w:val="20"/>
              </w:rPr>
            </w:pPr>
            <w:r w:rsidRPr="000006E7">
              <w:rPr>
                <w:rFonts w:cs="Arial"/>
              </w:rPr>
              <w:t xml:space="preserve">Lesy SR, </w:t>
            </w:r>
            <w:proofErr w:type="spellStart"/>
            <w:r w:rsidRPr="000006E7">
              <w:rPr>
                <w:rFonts w:cs="Arial"/>
              </w:rPr>
              <w:t>š.p</w:t>
            </w:r>
            <w:proofErr w:type="spellEnd"/>
            <w:r w:rsidRPr="000006E7">
              <w:rPr>
                <w:rFonts w:cs="Arial"/>
              </w:rPr>
              <w:t>. organizačná zložka OZ Tatry</w:t>
            </w:r>
          </w:p>
        </w:tc>
      </w:tr>
      <w:tr w:rsidR="000006E7" w:rsidRPr="000006E7" w14:paraId="541D0A28" w14:textId="77777777" w:rsidTr="000006E7">
        <w:tc>
          <w:tcPr>
            <w:tcW w:w="1308" w:type="pct"/>
            <w:shd w:val="clear" w:color="auto" w:fill="auto"/>
          </w:tcPr>
          <w:p w14:paraId="23914BC2" w14:textId="73B01EAF" w:rsidR="000006E7" w:rsidRPr="000006E7" w:rsidRDefault="000006E7" w:rsidP="000006E7">
            <w:pPr>
              <w:spacing w:after="0" w:line="360" w:lineRule="auto"/>
              <w:rPr>
                <w:rFonts w:cs="Arial"/>
                <w:szCs w:val="20"/>
              </w:rPr>
            </w:pPr>
            <w:r w:rsidRPr="000006E7">
              <w:rPr>
                <w:rFonts w:cs="Arial"/>
              </w:rPr>
              <w:t>Sídlo:</w:t>
            </w:r>
          </w:p>
        </w:tc>
        <w:tc>
          <w:tcPr>
            <w:tcW w:w="3692" w:type="pct"/>
          </w:tcPr>
          <w:p w14:paraId="18140C00" w14:textId="06B8995A" w:rsidR="000006E7" w:rsidRPr="000006E7" w:rsidRDefault="000006E7" w:rsidP="000006E7">
            <w:pPr>
              <w:spacing w:after="0" w:line="360" w:lineRule="auto"/>
              <w:jc w:val="both"/>
              <w:rPr>
                <w:rFonts w:cs="Arial"/>
                <w:szCs w:val="20"/>
              </w:rPr>
            </w:pPr>
            <w:r w:rsidRPr="000006E7">
              <w:rPr>
                <w:rFonts w:cs="Arial"/>
              </w:rPr>
              <w:t>Juraja Martinku 110/6, 033 11 Liptovský Hrádok</w:t>
            </w:r>
          </w:p>
        </w:tc>
      </w:tr>
      <w:tr w:rsidR="000006E7" w:rsidRPr="000006E7" w14:paraId="3E399ABD" w14:textId="77777777" w:rsidTr="000006E7">
        <w:tc>
          <w:tcPr>
            <w:tcW w:w="1308" w:type="pct"/>
            <w:shd w:val="clear" w:color="auto" w:fill="auto"/>
          </w:tcPr>
          <w:p w14:paraId="791B762C" w14:textId="1078F9AE" w:rsidR="000006E7" w:rsidRPr="000006E7" w:rsidRDefault="000006E7" w:rsidP="000006E7">
            <w:pPr>
              <w:spacing w:after="0" w:line="360" w:lineRule="auto"/>
              <w:rPr>
                <w:rFonts w:cs="Arial"/>
                <w:szCs w:val="20"/>
              </w:rPr>
            </w:pPr>
            <w:r w:rsidRPr="000006E7">
              <w:rPr>
                <w:rFonts w:cs="Arial"/>
              </w:rPr>
              <w:t>Právne zastúpený:</w:t>
            </w:r>
          </w:p>
        </w:tc>
        <w:tc>
          <w:tcPr>
            <w:tcW w:w="3692" w:type="pct"/>
          </w:tcPr>
          <w:p w14:paraId="2D91676D" w14:textId="42E13909" w:rsidR="000006E7" w:rsidRPr="000006E7" w:rsidRDefault="000006E7" w:rsidP="000006E7">
            <w:pPr>
              <w:spacing w:after="0" w:line="360" w:lineRule="auto"/>
              <w:jc w:val="both"/>
              <w:rPr>
                <w:rFonts w:cs="Arial"/>
                <w:szCs w:val="20"/>
                <w:highlight w:val="yellow"/>
              </w:rPr>
            </w:pPr>
            <w:r w:rsidRPr="000006E7">
              <w:rPr>
                <w:rFonts w:cs="Arial"/>
              </w:rPr>
              <w:t xml:space="preserve">Ing. Miroslav </w:t>
            </w:r>
            <w:proofErr w:type="spellStart"/>
            <w:r w:rsidRPr="000006E7">
              <w:rPr>
                <w:rFonts w:cs="Arial"/>
              </w:rPr>
              <w:t>Priechodský</w:t>
            </w:r>
            <w:proofErr w:type="spellEnd"/>
            <w:r w:rsidRPr="000006E7">
              <w:rPr>
                <w:rFonts w:cs="Arial"/>
              </w:rPr>
              <w:t>, PhD. - vedúci organizačnej zložky OZ Tatry</w:t>
            </w:r>
          </w:p>
        </w:tc>
      </w:tr>
      <w:tr w:rsidR="000006E7" w:rsidRPr="000006E7" w14:paraId="2576009A" w14:textId="77777777" w:rsidTr="000006E7">
        <w:tc>
          <w:tcPr>
            <w:tcW w:w="1308" w:type="pct"/>
            <w:shd w:val="clear" w:color="auto" w:fill="auto"/>
          </w:tcPr>
          <w:p w14:paraId="42F20BD8" w14:textId="5C62C415" w:rsidR="000006E7" w:rsidRPr="000006E7" w:rsidRDefault="000006E7" w:rsidP="000006E7">
            <w:pPr>
              <w:spacing w:after="0" w:line="360" w:lineRule="auto"/>
              <w:rPr>
                <w:rFonts w:cs="Arial"/>
                <w:szCs w:val="20"/>
              </w:rPr>
            </w:pPr>
            <w:r w:rsidRPr="000006E7">
              <w:rPr>
                <w:rFonts w:cs="Arial"/>
              </w:rPr>
              <w:t>IČO:</w:t>
            </w:r>
          </w:p>
        </w:tc>
        <w:tc>
          <w:tcPr>
            <w:tcW w:w="3692" w:type="pct"/>
          </w:tcPr>
          <w:p w14:paraId="5ABD265F" w14:textId="03277051" w:rsidR="000006E7" w:rsidRPr="000006E7" w:rsidRDefault="000006E7" w:rsidP="000006E7">
            <w:pPr>
              <w:spacing w:after="0" w:line="360" w:lineRule="auto"/>
              <w:jc w:val="both"/>
              <w:rPr>
                <w:rFonts w:cs="Arial"/>
                <w:szCs w:val="20"/>
              </w:rPr>
            </w:pPr>
            <w:r w:rsidRPr="000006E7">
              <w:rPr>
                <w:rFonts w:cs="Arial"/>
              </w:rPr>
              <w:t>36 038 351</w:t>
            </w:r>
          </w:p>
        </w:tc>
      </w:tr>
      <w:tr w:rsidR="000006E7" w:rsidRPr="000006E7" w14:paraId="75711DCC" w14:textId="77777777" w:rsidTr="000006E7">
        <w:tc>
          <w:tcPr>
            <w:tcW w:w="1308" w:type="pct"/>
            <w:shd w:val="clear" w:color="auto" w:fill="auto"/>
          </w:tcPr>
          <w:p w14:paraId="3B01D19D" w14:textId="4B581551" w:rsidR="000006E7" w:rsidRPr="000006E7" w:rsidRDefault="000006E7" w:rsidP="000006E7">
            <w:pPr>
              <w:spacing w:after="0" w:line="360" w:lineRule="auto"/>
              <w:rPr>
                <w:rFonts w:cs="Arial"/>
                <w:szCs w:val="20"/>
              </w:rPr>
            </w:pPr>
            <w:r w:rsidRPr="000006E7">
              <w:rPr>
                <w:rFonts w:cs="Arial"/>
              </w:rPr>
              <w:t>DIČ:</w:t>
            </w:r>
          </w:p>
        </w:tc>
        <w:tc>
          <w:tcPr>
            <w:tcW w:w="3692" w:type="pct"/>
          </w:tcPr>
          <w:p w14:paraId="4FD33A51" w14:textId="01BBDB64" w:rsidR="000006E7" w:rsidRPr="000006E7" w:rsidRDefault="000006E7" w:rsidP="000006E7">
            <w:pPr>
              <w:spacing w:after="0" w:line="360" w:lineRule="auto"/>
              <w:jc w:val="both"/>
              <w:rPr>
                <w:rFonts w:cs="Arial"/>
                <w:szCs w:val="20"/>
              </w:rPr>
            </w:pPr>
            <w:r w:rsidRPr="000006E7">
              <w:rPr>
                <w:rFonts w:cs="Arial"/>
              </w:rPr>
              <w:t>2020087982</w:t>
            </w:r>
          </w:p>
        </w:tc>
      </w:tr>
      <w:tr w:rsidR="000006E7" w:rsidRPr="000006E7" w14:paraId="3A306F44" w14:textId="77777777" w:rsidTr="000006E7">
        <w:tc>
          <w:tcPr>
            <w:tcW w:w="1308" w:type="pct"/>
            <w:shd w:val="clear" w:color="auto" w:fill="auto"/>
          </w:tcPr>
          <w:p w14:paraId="0F911C4A" w14:textId="011D6521" w:rsidR="000006E7" w:rsidRPr="000006E7" w:rsidRDefault="000006E7" w:rsidP="000006E7">
            <w:pPr>
              <w:spacing w:after="0" w:line="360" w:lineRule="auto"/>
              <w:rPr>
                <w:rFonts w:cs="Arial"/>
                <w:szCs w:val="20"/>
              </w:rPr>
            </w:pPr>
            <w:r w:rsidRPr="000006E7">
              <w:rPr>
                <w:rFonts w:cs="Arial"/>
              </w:rPr>
              <w:t>IČ DPH</w:t>
            </w:r>
          </w:p>
        </w:tc>
        <w:tc>
          <w:tcPr>
            <w:tcW w:w="3692" w:type="pct"/>
          </w:tcPr>
          <w:p w14:paraId="4CF6FC0D" w14:textId="7C187701" w:rsidR="000006E7" w:rsidRPr="000006E7" w:rsidRDefault="000006E7" w:rsidP="000006E7">
            <w:pPr>
              <w:spacing w:after="0" w:line="360" w:lineRule="auto"/>
              <w:rPr>
                <w:rFonts w:cs="Arial"/>
                <w:szCs w:val="20"/>
              </w:rPr>
            </w:pPr>
            <w:r w:rsidRPr="000006E7">
              <w:rPr>
                <w:rFonts w:cs="Arial"/>
              </w:rPr>
              <w:t>SK2020087982</w:t>
            </w:r>
          </w:p>
        </w:tc>
      </w:tr>
      <w:tr w:rsidR="007E6185" w:rsidRPr="000006E7" w14:paraId="645263D9" w14:textId="77777777" w:rsidTr="000006E7">
        <w:tc>
          <w:tcPr>
            <w:tcW w:w="1308" w:type="pct"/>
            <w:shd w:val="clear" w:color="auto" w:fill="auto"/>
          </w:tcPr>
          <w:p w14:paraId="6F2956CC" w14:textId="77777777" w:rsidR="007E6185" w:rsidRPr="000006E7" w:rsidRDefault="007E6185" w:rsidP="00F03CE1">
            <w:pPr>
              <w:spacing w:after="0" w:line="360" w:lineRule="auto"/>
              <w:rPr>
                <w:rFonts w:cs="Arial"/>
                <w:szCs w:val="20"/>
              </w:rPr>
            </w:pPr>
            <w:r w:rsidRPr="000006E7">
              <w:rPr>
                <w:rFonts w:cs="Arial"/>
                <w:szCs w:val="20"/>
              </w:rPr>
              <w:t>Číslo účtu (IBAN):</w:t>
            </w:r>
          </w:p>
        </w:tc>
        <w:tc>
          <w:tcPr>
            <w:tcW w:w="3692" w:type="pct"/>
          </w:tcPr>
          <w:p w14:paraId="1FF3BACF" w14:textId="77777777" w:rsidR="007E6185" w:rsidRPr="000006E7" w:rsidRDefault="007E6185" w:rsidP="00F03CE1">
            <w:pPr>
              <w:spacing w:after="0" w:line="360" w:lineRule="auto"/>
              <w:rPr>
                <w:rFonts w:cs="Arial"/>
                <w:szCs w:val="20"/>
              </w:rPr>
            </w:pPr>
            <w:r w:rsidRPr="000006E7">
              <w:rPr>
                <w:rFonts w:cs="Arial"/>
                <w:szCs w:val="20"/>
                <w:highlight w:val="yellow"/>
              </w:rPr>
              <w:t>....................</w:t>
            </w:r>
          </w:p>
        </w:tc>
      </w:tr>
      <w:tr w:rsidR="007E6185" w:rsidRPr="000006E7" w14:paraId="12E01D1D" w14:textId="77777777" w:rsidTr="000006E7">
        <w:tc>
          <w:tcPr>
            <w:tcW w:w="1308" w:type="pct"/>
            <w:shd w:val="clear" w:color="auto" w:fill="auto"/>
          </w:tcPr>
          <w:p w14:paraId="47CD7511" w14:textId="77777777" w:rsidR="007E6185" w:rsidRPr="000006E7" w:rsidRDefault="007E6185" w:rsidP="00F03CE1">
            <w:pPr>
              <w:spacing w:after="0" w:line="360" w:lineRule="auto"/>
              <w:rPr>
                <w:rFonts w:cs="Arial"/>
                <w:szCs w:val="20"/>
              </w:rPr>
            </w:pPr>
            <w:r w:rsidRPr="000006E7">
              <w:rPr>
                <w:rFonts w:cs="Arial"/>
                <w:szCs w:val="20"/>
              </w:rPr>
              <w:t>Kontakt:</w:t>
            </w:r>
          </w:p>
        </w:tc>
        <w:tc>
          <w:tcPr>
            <w:tcW w:w="3692" w:type="pct"/>
          </w:tcPr>
          <w:p w14:paraId="3010E2F8" w14:textId="77777777" w:rsidR="007E6185" w:rsidRPr="000006E7" w:rsidRDefault="007E6185" w:rsidP="00F03CE1">
            <w:pPr>
              <w:spacing w:after="0" w:line="360" w:lineRule="auto"/>
              <w:jc w:val="both"/>
              <w:rPr>
                <w:rFonts w:cs="Arial"/>
                <w:szCs w:val="20"/>
              </w:rPr>
            </w:pPr>
            <w:r w:rsidRPr="000006E7">
              <w:rPr>
                <w:rFonts w:cs="Arial"/>
                <w:szCs w:val="20"/>
                <w:highlight w:val="yellow"/>
              </w:rPr>
              <w:t>....................</w:t>
            </w:r>
          </w:p>
        </w:tc>
      </w:tr>
      <w:tr w:rsidR="007E6185" w:rsidRPr="000006E7" w14:paraId="612FF3BA" w14:textId="77777777" w:rsidTr="000006E7">
        <w:tc>
          <w:tcPr>
            <w:tcW w:w="5000" w:type="pct"/>
            <w:gridSpan w:val="2"/>
            <w:shd w:val="clear" w:color="auto" w:fill="auto"/>
          </w:tcPr>
          <w:p w14:paraId="3AC98CEB" w14:textId="77777777" w:rsidR="007E6185" w:rsidRPr="000006E7" w:rsidRDefault="007E6185" w:rsidP="00F03CE1">
            <w:pPr>
              <w:spacing w:after="0" w:line="360" w:lineRule="auto"/>
              <w:jc w:val="both"/>
              <w:rPr>
                <w:rFonts w:cs="Arial"/>
                <w:szCs w:val="20"/>
              </w:rPr>
            </w:pPr>
            <w:r w:rsidRPr="000006E7">
              <w:rPr>
                <w:rFonts w:cs="Arial"/>
                <w:szCs w:val="20"/>
              </w:rPr>
              <w:t xml:space="preserve">Zapísaný v Obchodnom registri Okresného súdu v Banskej Bystrici dňa 29.10.1999, Oddiel </w:t>
            </w:r>
            <w:proofErr w:type="spellStart"/>
            <w:r w:rsidRPr="000006E7">
              <w:rPr>
                <w:rFonts w:cs="Arial"/>
                <w:szCs w:val="20"/>
              </w:rPr>
              <w:t>Pš</w:t>
            </w:r>
            <w:proofErr w:type="spellEnd"/>
            <w:r w:rsidRPr="000006E7">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Look w:val="01E0" w:firstRow="1" w:lastRow="1" w:firstColumn="1" w:lastColumn="1" w:noHBand="0" w:noVBand="0"/>
      </w:tblPr>
      <w:tblGrid>
        <w:gridCol w:w="1937"/>
        <w:gridCol w:w="7135"/>
      </w:tblGrid>
      <w:tr w:rsidR="007E6185" w:rsidRPr="00C30FEC" w14:paraId="60661125" w14:textId="77777777" w:rsidTr="000006E7">
        <w:tc>
          <w:tcPr>
            <w:tcW w:w="1937" w:type="dxa"/>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0006E7">
        <w:tc>
          <w:tcPr>
            <w:tcW w:w="1937" w:type="dxa"/>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0006E7">
        <w:tc>
          <w:tcPr>
            <w:tcW w:w="1937" w:type="dxa"/>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0006E7">
        <w:tc>
          <w:tcPr>
            <w:tcW w:w="1937" w:type="dxa"/>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0006E7">
        <w:tc>
          <w:tcPr>
            <w:tcW w:w="1937" w:type="dxa"/>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0006E7">
        <w:tc>
          <w:tcPr>
            <w:tcW w:w="1937" w:type="dxa"/>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0006E7">
        <w:tc>
          <w:tcPr>
            <w:tcW w:w="1937" w:type="dxa"/>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0006E7">
        <w:tc>
          <w:tcPr>
            <w:tcW w:w="9072" w:type="dxa"/>
            <w:gridSpan w:val="2"/>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6DD26D4"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v ťažbovom procese na </w:t>
      </w:r>
      <w:r w:rsidRPr="00C30FEC">
        <w:rPr>
          <w:rFonts w:ascii="Arial" w:hAnsi="Arial" w:cs="Arial"/>
          <w:sz w:val="20"/>
          <w:highlight w:val="yellow"/>
          <w:lang w:val="sk-SK"/>
        </w:rPr>
        <w:t xml:space="preserve">OZ </w:t>
      </w:r>
      <w:r w:rsidR="000006E7">
        <w:rPr>
          <w:rFonts w:ascii="Arial" w:hAnsi="Arial" w:cs="Arial"/>
          <w:sz w:val="20"/>
          <w:highlight w:val="yellow"/>
          <w:lang w:val="sk-SK"/>
        </w:rPr>
        <w:t>Tatry</w:t>
      </w:r>
      <w:r w:rsidRPr="00C30FEC">
        <w:rPr>
          <w:rFonts w:ascii="Arial" w:hAnsi="Arial" w:cs="Arial"/>
          <w:sz w:val="20"/>
          <w:highlight w:val="yellow"/>
          <w:lang w:val="sk-SK"/>
        </w:rPr>
        <w:t xml:space="preserve">, </w:t>
      </w:r>
      <w:r w:rsidR="000006E7">
        <w:rPr>
          <w:rFonts w:ascii="Arial" w:hAnsi="Arial" w:cs="Arial"/>
          <w:sz w:val="20"/>
          <w:highlight w:val="yellow"/>
          <w:lang w:val="sk-SK"/>
        </w:rPr>
        <w:t>LS</w:t>
      </w:r>
      <w:r w:rsidRPr="000006E7">
        <w:rPr>
          <w:rFonts w:ascii="Arial" w:hAnsi="Arial" w:cs="Arial"/>
          <w:sz w:val="20"/>
          <w:highlight w:val="yellow"/>
          <w:lang w:val="sk-SK"/>
        </w:rPr>
        <w:t>.............</w:t>
      </w:r>
      <w:r w:rsidR="000006E7" w:rsidRPr="000006E7">
        <w:rPr>
          <w:rFonts w:ascii="Arial" w:hAnsi="Arial" w:cs="Arial"/>
          <w:sz w:val="20"/>
          <w:highlight w:val="yellow"/>
          <w:lang w:val="sk-SK"/>
        </w:rPr>
        <w:t xml:space="preserve"> – výzva č. ...................</w:t>
      </w:r>
      <w:r w:rsidR="000006E7">
        <w:rPr>
          <w:rFonts w:ascii="Arial" w:hAnsi="Arial" w:cs="Arial"/>
          <w:sz w:val="20"/>
          <w:lang w:val="sk-SK"/>
        </w:rPr>
        <w:t xml:space="preserve"> </w:t>
      </w:r>
      <w:r w:rsidR="00465470">
        <w:rPr>
          <w:rFonts w:ascii="Arial" w:hAnsi="Arial" w:cs="Arial"/>
          <w:sz w:val="20"/>
          <w:lang w:val="sk-SK"/>
        </w:rPr>
        <w:t>,</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w:t>
      </w:r>
      <w:r w:rsidRPr="00C30FEC">
        <w:rPr>
          <w:rFonts w:ascii="Arial" w:hAnsi="Arial" w:cs="Arial"/>
          <w:sz w:val="20"/>
          <w:lang w:val="sk-SK"/>
        </w:rPr>
        <w:lastRenderedPageBreak/>
        <w:t>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4489FA1B" w:rsidR="007E6185" w:rsidRPr="00730571" w:rsidRDefault="007E6185" w:rsidP="00465470">
      <w:pPr>
        <w:pStyle w:val="Zkladntext"/>
        <w:numPr>
          <w:ilvl w:val="0"/>
          <w:numId w:val="61"/>
        </w:numPr>
        <w:spacing w:after="0"/>
        <w:rPr>
          <w:rFonts w:cs="Arial"/>
          <w:bCs/>
          <w:szCs w:val="20"/>
        </w:rPr>
      </w:pPr>
      <w:r w:rsidRPr="00C30FEC">
        <w:rPr>
          <w:rFonts w:cs="Arial"/>
          <w:szCs w:val="20"/>
        </w:rPr>
        <w:t xml:space="preserve">s </w:t>
      </w:r>
      <w:r w:rsidRPr="00730571">
        <w:rPr>
          <w:rFonts w:cs="Arial"/>
          <w:szCs w:val="20"/>
        </w:rPr>
        <w:t xml:space="preserve">podmienkami uvedenými v súťažných podkladoch </w:t>
      </w:r>
      <w:r w:rsidR="00730571" w:rsidRPr="00730571">
        <w:rPr>
          <w:rFonts w:cs="Arial"/>
          <w:szCs w:val="20"/>
        </w:rPr>
        <w:t>a v oznámení o vyhlásení VO zverejnenom</w:t>
      </w:r>
      <w:r w:rsidRPr="00730571">
        <w:rPr>
          <w:rFonts w:cs="Arial"/>
          <w:szCs w:val="20"/>
        </w:rPr>
        <w:t xml:space="preserve"> číslom </w:t>
      </w:r>
      <w:r w:rsidR="00730571" w:rsidRPr="00730571">
        <w:rPr>
          <w:rFonts w:cs="Arial"/>
          <w:szCs w:val="20"/>
        </w:rPr>
        <w:t xml:space="preserve">2240-MUS </w:t>
      </w:r>
      <w:r w:rsidRPr="00730571">
        <w:rPr>
          <w:rFonts w:cs="Arial"/>
          <w:szCs w:val="20"/>
        </w:rPr>
        <w:t xml:space="preserve">vo Vestníku verejného obstarávania č. </w:t>
      </w:r>
      <w:r w:rsidR="00465470" w:rsidRPr="00730571">
        <w:rPr>
          <w:rFonts w:cs="Arial"/>
          <w:szCs w:val="20"/>
        </w:rPr>
        <w:t>18/2024</w:t>
      </w:r>
      <w:r w:rsidRPr="00730571">
        <w:rPr>
          <w:rFonts w:cs="Arial"/>
          <w:szCs w:val="20"/>
        </w:rPr>
        <w:t xml:space="preserve"> </w:t>
      </w:r>
      <w:r w:rsidR="00465470" w:rsidRPr="00730571">
        <w:rPr>
          <w:rFonts w:cs="Arial"/>
          <w:szCs w:val="20"/>
        </w:rPr>
        <w:t>dňa 25.1.2024</w:t>
      </w:r>
      <w:r w:rsidR="00730571" w:rsidRPr="00730571">
        <w:rPr>
          <w:rFonts w:cs="Arial"/>
          <w:szCs w:val="20"/>
        </w:rPr>
        <w:t xml:space="preserve"> </w:t>
      </w:r>
      <w:r w:rsidRPr="00730571">
        <w:rPr>
          <w:rFonts w:cs="Arial"/>
          <w:szCs w:val="20"/>
        </w:rPr>
        <w:t>a</w:t>
      </w:r>
      <w:r w:rsidRPr="00730571">
        <w:rPr>
          <w:rFonts w:eastAsiaTheme="minorHAnsi" w:cs="Arial"/>
          <w:bCs/>
          <w:sz w:val="22"/>
          <w:szCs w:val="22"/>
          <w:lang w:eastAsia="en-US"/>
        </w:rPr>
        <w:t xml:space="preserve"> </w:t>
      </w:r>
      <w:r w:rsidRPr="00730571">
        <w:rPr>
          <w:rFonts w:cs="Arial"/>
          <w:bCs/>
          <w:szCs w:val="20"/>
        </w:rPr>
        <w:t>v Úradnom vestníku EÚ</w:t>
      </w:r>
      <w:r w:rsidR="00730571">
        <w:rPr>
          <w:rFonts w:cs="Arial"/>
          <w:bCs/>
          <w:szCs w:val="20"/>
        </w:rPr>
        <w:t>:</w:t>
      </w:r>
      <w:r w:rsidRPr="00730571">
        <w:rPr>
          <w:rFonts w:cs="Arial"/>
          <w:szCs w:val="20"/>
        </w:rPr>
        <w:t xml:space="preserve"> </w:t>
      </w:r>
      <w:r w:rsidR="00730571" w:rsidRPr="00730571">
        <w:t>Číslo vydania série S úradného vestníka</w:t>
      </w:r>
      <w:r w:rsidR="00730571">
        <w:t xml:space="preserve"> č.</w:t>
      </w:r>
      <w:r w:rsidR="00730571" w:rsidRPr="00730571">
        <w:t> 17/2024 zo dňa 24.01.2024 pod číslom  00048839-2024</w:t>
      </w:r>
      <w:r w:rsidRPr="00730571">
        <w:rPr>
          <w:rFonts w:cs="Arial"/>
          <w:szCs w:val="20"/>
        </w:rPr>
        <w:t>,</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0"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57914079" w:rsidR="007E6185" w:rsidRPr="00C13EBA" w:rsidRDefault="007E6185" w:rsidP="00E73295">
            <w:pPr>
              <w:spacing w:after="0" w:line="360" w:lineRule="auto"/>
              <w:rPr>
                <w:rFonts w:cs="Arial"/>
                <w:szCs w:val="20"/>
              </w:rPr>
            </w:pPr>
            <w:r w:rsidRPr="00C13EBA">
              <w:rPr>
                <w:rFonts w:cs="Arial"/>
                <w:szCs w:val="20"/>
              </w:rPr>
              <w:t>DPH 2</w:t>
            </w:r>
            <w:r w:rsidR="00E73295">
              <w:rPr>
                <w:rFonts w:cs="Arial"/>
                <w:szCs w:val="20"/>
              </w:rPr>
              <w:t xml:space="preserve">3 </w:t>
            </w:r>
            <w:bookmarkStart w:id="1" w:name="_GoBack"/>
            <w:bookmarkEnd w:id="1"/>
            <w:r w:rsidRPr="00C13EBA">
              <w:rPr>
                <w:rFonts w:cs="Arial"/>
                <w:szCs w:val="20"/>
              </w:rPr>
              <w:t>%:</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0138B250" w:rsidR="007E6185" w:rsidRPr="000C37D4" w:rsidRDefault="000C37D4" w:rsidP="007E6185">
      <w:pPr>
        <w:spacing w:after="0"/>
        <w:rPr>
          <w:rFonts w:cs="Arial"/>
          <w:b/>
          <w:i/>
          <w:szCs w:val="20"/>
          <w:u w:val="single"/>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0C37D4">
        <w:rPr>
          <w:rFonts w:cs="Arial"/>
          <w:b/>
          <w:i/>
          <w:color w:val="FF0000"/>
          <w:sz w:val="28"/>
          <w:szCs w:val="20"/>
          <w:u w:val="single"/>
        </w:rPr>
        <w:t>PODPÍSAŤ!!!!!!!</w:t>
      </w:r>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7E6185" w:rsidRPr="00C30FEC" w14:paraId="243BA9FC" w14:textId="77777777" w:rsidTr="00F03CE1">
        <w:tc>
          <w:tcPr>
            <w:tcW w:w="3528" w:type="dxa"/>
            <w:tcBorders>
              <w:top w:val="dashed" w:sz="4" w:space="0" w:color="auto"/>
              <w:left w:val="nil"/>
              <w:bottom w:val="nil"/>
              <w:right w:val="nil"/>
            </w:tcBorders>
            <w:hideMark/>
          </w:tcPr>
          <w:p w14:paraId="41995131" w14:textId="77777777" w:rsidR="00DD7E9C" w:rsidRDefault="00DD7E9C" w:rsidP="00DD7E9C">
            <w:pPr>
              <w:spacing w:after="0"/>
              <w:jc w:val="center"/>
              <w:rPr>
                <w:rFonts w:eastAsia="Calibri" w:cs="Arial"/>
                <w:b/>
                <w:szCs w:val="20"/>
              </w:rPr>
            </w:pPr>
            <w:r w:rsidRPr="00DD7E9C">
              <w:rPr>
                <w:rFonts w:eastAsia="Calibri" w:cs="Arial"/>
                <w:b/>
                <w:szCs w:val="20"/>
              </w:rPr>
              <w:t xml:space="preserve">Ing. Miroslav </w:t>
            </w:r>
            <w:proofErr w:type="spellStart"/>
            <w:r w:rsidRPr="00DD7E9C">
              <w:rPr>
                <w:rFonts w:eastAsia="Calibri" w:cs="Arial"/>
                <w:b/>
                <w:szCs w:val="20"/>
              </w:rPr>
              <w:t>Priechodský</w:t>
            </w:r>
            <w:proofErr w:type="spellEnd"/>
            <w:r w:rsidRPr="00DD7E9C">
              <w:rPr>
                <w:rFonts w:eastAsia="Calibri" w:cs="Arial"/>
                <w:b/>
                <w:szCs w:val="20"/>
              </w:rPr>
              <w:t>, PhD.</w:t>
            </w:r>
          </w:p>
          <w:p w14:paraId="6669BB8C" w14:textId="3A4F5BB0" w:rsidR="007E6185" w:rsidRPr="00DD7E9C" w:rsidRDefault="00DD7E9C" w:rsidP="00DD7E9C">
            <w:pPr>
              <w:spacing w:after="0"/>
              <w:jc w:val="center"/>
              <w:rPr>
                <w:rFonts w:cs="Arial"/>
                <w:szCs w:val="20"/>
              </w:rPr>
            </w:pPr>
            <w:r w:rsidRPr="00DD7E9C">
              <w:rPr>
                <w:rFonts w:eastAsia="Calibri" w:cs="Arial"/>
                <w:szCs w:val="20"/>
              </w:rPr>
              <w:t>vedúci organizačnej zložky OZ Tatry</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0E9E85ED" w:rsidR="007E6185" w:rsidRDefault="007E6185" w:rsidP="007E6185">
      <w:pPr>
        <w:spacing w:after="0"/>
        <w:rPr>
          <w:rFonts w:cs="Arial"/>
          <w:szCs w:val="20"/>
        </w:rPr>
      </w:pPr>
    </w:p>
    <w:p w14:paraId="728480EE" w14:textId="2566B9BD" w:rsidR="00DD7E9C" w:rsidRDefault="00DD7E9C" w:rsidP="007E6185">
      <w:pPr>
        <w:spacing w:after="0"/>
        <w:rPr>
          <w:rFonts w:cs="Arial"/>
          <w:szCs w:val="20"/>
        </w:rPr>
      </w:pPr>
    </w:p>
    <w:p w14:paraId="70F04C24" w14:textId="4C727EEA" w:rsidR="00DD7E9C" w:rsidRDefault="00DD7E9C" w:rsidP="007E6185">
      <w:pPr>
        <w:spacing w:after="0"/>
        <w:rPr>
          <w:rFonts w:cs="Arial"/>
          <w:szCs w:val="20"/>
        </w:rPr>
      </w:pPr>
    </w:p>
    <w:p w14:paraId="5F7BA2E9" w14:textId="77777777" w:rsidR="00DD7E9C" w:rsidRPr="00C30FEC" w:rsidRDefault="00DD7E9C"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2EF55" w14:textId="77777777" w:rsidR="00385C95" w:rsidRDefault="00385C95">
      <w:r>
        <w:separator/>
      </w:r>
    </w:p>
  </w:endnote>
  <w:endnote w:type="continuationSeparator" w:id="0">
    <w:p w14:paraId="026B9F74" w14:textId="77777777" w:rsidR="00385C95" w:rsidRDefault="0038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61A2CF6B"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3295">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3295">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1C5EF" w14:textId="77777777" w:rsidR="00385C95" w:rsidRDefault="00385C95">
      <w:r>
        <w:separator/>
      </w:r>
    </w:p>
  </w:footnote>
  <w:footnote w:type="continuationSeparator" w:id="0">
    <w:p w14:paraId="07A1B361" w14:textId="77777777" w:rsidR="00385C95" w:rsidRDefault="0038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6E7"/>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7D4"/>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5C95"/>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470"/>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0571"/>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7DD"/>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A6C"/>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6CCF"/>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E9C"/>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295"/>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9DC4-7AE2-4F85-9F12-0CF95675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4710</Words>
  <Characters>26851</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31499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10</cp:revision>
  <cp:lastPrinted>2024-01-10T09:14:00Z</cp:lastPrinted>
  <dcterms:created xsi:type="dcterms:W3CDTF">2024-01-18T11:30:00Z</dcterms:created>
  <dcterms:modified xsi:type="dcterms:W3CDTF">2025-05-20T08:47:00Z</dcterms:modified>
  <cp:category>EIZ</cp:category>
</cp:coreProperties>
</file>