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105AF534"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74437D">
        <w:rPr>
          <w:rFonts w:ascii="Arial Narrow" w:hAnsi="Arial Narrow" w:cs="Times New Roman"/>
        </w:rPr>
        <w:t>2</w:t>
      </w:r>
      <w:r w:rsidR="0074437D"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2DE793A" w14:textId="77777777" w:rsidR="00053707" w:rsidRPr="00053707" w:rsidRDefault="00053707" w:rsidP="00053707"/>
    <w:p w14:paraId="33D03F92" w14:textId="1BDD738C" w:rsidR="00B417C0" w:rsidRPr="005B6588" w:rsidRDefault="00053707" w:rsidP="00325E2D">
      <w:r w:rsidRPr="00053707">
        <w:rPr>
          <w:rFonts w:ascii="Arial Narrow" w:hAnsi="Arial Narrow"/>
        </w:rPr>
        <w:t>Pre zaradenie do DNS musí záujemca spĺňať podmienky účasti podľa zákona č. 343/2015 Z. z. o verejnom obstarávaní a o zmene a doplnení niektorých zákonov v znení neskorších predpisov (ďalej len „zákon“) stanovených v tejto časti súťažných podkladov.</w:t>
      </w:r>
    </w:p>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56010080" w:rsidR="00355B92" w:rsidRPr="000523E2" w:rsidRDefault="00EA047E" w:rsidP="00355B92">
      <w:pPr>
        <w:jc w:val="both"/>
        <w:rPr>
          <w:rFonts w:ascii="Arial Narrow" w:eastAsia="Arial" w:hAnsi="Arial Narrow"/>
        </w:rPr>
      </w:pPr>
      <w:r>
        <w:rPr>
          <w:rFonts w:ascii="Arial Narrow" w:eastAsia="Arial" w:hAnsi="Arial Narrow"/>
        </w:rPr>
        <w:t>Záujemca</w:t>
      </w:r>
      <w:r w:rsidRPr="00DF5933">
        <w:rPr>
          <w:rFonts w:ascii="Arial Narrow" w:eastAsia="Arial" w:hAnsi="Arial Narrow"/>
        </w:rPr>
        <w:t xml:space="preserve"> </w:t>
      </w:r>
      <w:r w:rsidR="00355B92" w:rsidRPr="00DF5933">
        <w:rPr>
          <w:rFonts w:ascii="Arial Narrow" w:eastAsia="Arial" w:hAnsi="Arial Narrow"/>
        </w:rPr>
        <w:t>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64390EEF" w:rsidR="00E83526" w:rsidRDefault="00C732C1" w:rsidP="005B6588">
      <w:pPr>
        <w:ind w:left="709" w:firstLine="5"/>
        <w:jc w:val="both"/>
        <w:rPr>
          <w:rFonts w:ascii="Arial Narrow" w:eastAsia="Arial" w:hAnsi="Arial Narrow"/>
        </w:rPr>
      </w:pPr>
      <w:r>
        <w:rPr>
          <w:rFonts w:ascii="Arial Narrow" w:eastAsia="Arial" w:hAnsi="Arial Narrow"/>
        </w:rPr>
        <w:t xml:space="preserve">ktorých splnenie preukazuje podľa § 32 ods. 2 zákona. </w:t>
      </w:r>
      <w:r w:rsidR="00EA047E">
        <w:rPr>
          <w:rFonts w:ascii="Arial Narrow" w:eastAsia="Arial" w:hAnsi="Arial Narrow"/>
        </w:rPr>
        <w:t xml:space="preserve">Záujemca </w:t>
      </w:r>
      <w:r w:rsidR="00E83526" w:rsidRPr="00E83526">
        <w:rPr>
          <w:rFonts w:ascii="Arial Narrow" w:eastAsia="Arial" w:hAnsi="Arial Narrow"/>
        </w:rPr>
        <w:t>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03D9ADD6" w14:textId="114C618F" w:rsidR="002B0C6A" w:rsidRPr="00716FD1" w:rsidRDefault="002B0C6A" w:rsidP="002B0C6A">
      <w:pPr>
        <w:pStyle w:val="Odsekzoznamu"/>
        <w:numPr>
          <w:ilvl w:val="0"/>
          <w:numId w:val="2"/>
        </w:numPr>
        <w:jc w:val="both"/>
        <w:rPr>
          <w:rFonts w:ascii="Arial Narrow" w:hAnsi="Arial Narrow"/>
          <w:i/>
        </w:rPr>
      </w:pPr>
      <w:r w:rsidRPr="00716FD1">
        <w:rPr>
          <w:rFonts w:ascii="Arial Narrow" w:hAnsi="Arial Narrow"/>
        </w:rPr>
        <w:t xml:space="preserve">Podľa § 32 ods. 7 zákona </w:t>
      </w:r>
      <w:r w:rsidRPr="00716FD1">
        <w:rPr>
          <w:rFonts w:ascii="Arial Narrow" w:hAnsi="Arial Narrow"/>
          <w:i/>
        </w:rPr>
        <w:t xml:space="preserve">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podľa </w:t>
      </w:r>
      <w:bookmarkStart w:id="0" w:name="_GoBack"/>
      <w:r w:rsidRPr="00716FD1">
        <w:rPr>
          <w:rFonts w:ascii="Arial Narrow" w:hAnsi="Arial Narrow"/>
          <w:i/>
        </w:rPr>
        <w:t>príloh</w:t>
      </w:r>
      <w:bookmarkEnd w:id="0"/>
      <w:r w:rsidRPr="00716FD1">
        <w:rPr>
          <w:rFonts w:ascii="Arial Narrow" w:hAnsi="Arial Narrow"/>
          <w:i/>
        </w:rPr>
        <w:t xml:space="preserve">y    </w:t>
      </w:r>
      <w:r w:rsidRPr="00716FD1">
        <w:rPr>
          <w:rFonts w:ascii="Arial Narrow" w:hAnsi="Arial Narrow"/>
          <w:i/>
        </w:rPr>
        <w:lastRenderedPageBreak/>
        <w:t xml:space="preserve">č. </w:t>
      </w:r>
      <w:r w:rsidR="003B4B9F">
        <w:rPr>
          <w:rFonts w:ascii="Arial Narrow" w:hAnsi="Arial Narrow"/>
          <w:i/>
        </w:rPr>
        <w:t>2</w:t>
      </w:r>
      <w:r>
        <w:rPr>
          <w:rFonts w:ascii="Arial Narrow" w:hAnsi="Arial Narrow"/>
          <w:i/>
        </w:rPr>
        <w:t>a</w:t>
      </w:r>
      <w:r w:rsidRPr="00716FD1">
        <w:rPr>
          <w:rFonts w:ascii="Arial Narrow" w:hAnsi="Arial Narrow"/>
          <w:i/>
        </w:rPr>
        <w:t xml:space="preserve"> týchto súťažných podkladov alebo vyhlásenia podľa § 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 </w:t>
      </w:r>
    </w:p>
    <w:p w14:paraId="50EEA989" w14:textId="6FA00263" w:rsidR="002B0C6A" w:rsidRPr="002B19A7" w:rsidRDefault="002B0C6A" w:rsidP="002B0C6A">
      <w:pPr>
        <w:pStyle w:val="Odsekzoznamu"/>
        <w:ind w:left="681"/>
        <w:jc w:val="both"/>
        <w:rPr>
          <w:rFonts w:ascii="Arial Narrow" w:hAnsi="Arial Narrow"/>
          <w:u w:val="single"/>
        </w:rPr>
      </w:pPr>
      <w:r w:rsidRPr="002B19A7">
        <w:rPr>
          <w:rFonts w:ascii="Arial Narrow" w:hAnsi="Arial Narrow"/>
          <w:u w:val="single"/>
        </w:rPr>
        <w:t xml:space="preserve">Vzor príslušného čestného vyhlásenia tvorí prílohu č. </w:t>
      </w:r>
      <w:r w:rsidR="002B19A7">
        <w:rPr>
          <w:rFonts w:ascii="Arial Narrow" w:hAnsi="Arial Narrow"/>
          <w:u w:val="single"/>
        </w:rPr>
        <w:t>2</w:t>
      </w:r>
      <w:r w:rsidRPr="002B19A7">
        <w:rPr>
          <w:rFonts w:ascii="Arial Narrow" w:hAnsi="Arial Narrow"/>
          <w:u w:val="single"/>
        </w:rPr>
        <w:t xml:space="preserve">a týchto súťažných podkladov. </w:t>
      </w:r>
    </w:p>
    <w:p w14:paraId="6EEABF7A" w14:textId="77777777" w:rsidR="002B0C6A" w:rsidRPr="00716FD1" w:rsidRDefault="002B0C6A" w:rsidP="002B0C6A">
      <w:pPr>
        <w:ind w:firstLine="708"/>
        <w:jc w:val="both"/>
        <w:rPr>
          <w:rFonts w:ascii="Arial Narrow" w:hAnsi="Arial Narrow"/>
          <w:i/>
        </w:rPr>
      </w:pPr>
      <w:r w:rsidRPr="00716FD1">
        <w:rPr>
          <w:rFonts w:ascii="Arial Narrow" w:hAnsi="Arial Narrow"/>
        </w:rPr>
        <w:t>Za osobu podľa § 32 ods. 7 zákona</w:t>
      </w:r>
      <w:r w:rsidRPr="00716FD1">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14:paraId="3EC0B09E" w14:textId="77777777" w:rsidR="002B0C6A" w:rsidRPr="00716FD1" w:rsidRDefault="002B0C6A" w:rsidP="002B0C6A">
      <w:pPr>
        <w:ind w:firstLine="708"/>
        <w:jc w:val="both"/>
        <w:rPr>
          <w:rFonts w:ascii="Arial Narrow" w:hAnsi="Arial Narrow"/>
          <w:i/>
        </w:rPr>
      </w:pPr>
      <w:r w:rsidRPr="00716FD1">
        <w:rPr>
          <w:rFonts w:ascii="Arial Narrow" w:hAnsi="Arial Narrow"/>
          <w:i/>
        </w:rPr>
        <w:t>a) vlastní väčšinu akcií alebo väčšinový obchodný podiel u uchádzača alebo záujemcu,</w:t>
      </w:r>
    </w:p>
    <w:p w14:paraId="01447CA3" w14:textId="77777777" w:rsidR="002B0C6A" w:rsidRPr="00716FD1" w:rsidRDefault="002B0C6A" w:rsidP="002B0C6A">
      <w:pPr>
        <w:ind w:firstLine="708"/>
        <w:jc w:val="both"/>
        <w:rPr>
          <w:rFonts w:ascii="Arial Narrow" w:hAnsi="Arial Narrow"/>
          <w:i/>
        </w:rPr>
      </w:pPr>
      <w:r w:rsidRPr="00716FD1">
        <w:rPr>
          <w:rFonts w:ascii="Arial Narrow" w:hAnsi="Arial Narrow"/>
          <w:i/>
        </w:rPr>
        <w:t>b) má väčšinu hlasovacích práv u uchádzača alebo záujemcu,</w:t>
      </w:r>
    </w:p>
    <w:p w14:paraId="3B6E2785" w14:textId="77777777" w:rsidR="002B0C6A" w:rsidRPr="00716FD1" w:rsidRDefault="002B0C6A" w:rsidP="002B0C6A">
      <w:pPr>
        <w:ind w:firstLine="708"/>
        <w:jc w:val="both"/>
        <w:rPr>
          <w:rFonts w:ascii="Arial Narrow" w:hAnsi="Arial Narrow"/>
          <w:i/>
        </w:rPr>
      </w:pPr>
      <w:r w:rsidRPr="00716FD1">
        <w:rPr>
          <w:rFonts w:ascii="Arial Narrow" w:hAnsi="Arial Narrow"/>
          <w:i/>
        </w:rPr>
        <w:t>c) má právo vymenúvať alebo odvolávať väčšinu členov štatutárneho orgánu alebo dozorného orgánu uchádzača alebo záujemcu alebo</w:t>
      </w:r>
    </w:p>
    <w:p w14:paraId="7BFEC648" w14:textId="0BEEFCE7" w:rsidR="002B0C6A" w:rsidRDefault="002B0C6A" w:rsidP="002B0C6A">
      <w:pPr>
        <w:ind w:left="600" w:hanging="279"/>
        <w:jc w:val="both"/>
        <w:rPr>
          <w:rFonts w:ascii="Arial Narrow" w:eastAsia="Arial" w:hAnsi="Arial Narrow"/>
        </w:rPr>
      </w:pPr>
      <w:r w:rsidRPr="00716FD1">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BE7C826" w:rsidR="00355B92" w:rsidRPr="007B66A5" w:rsidRDefault="00EA047E" w:rsidP="00355B92">
      <w:pPr>
        <w:autoSpaceDE w:val="0"/>
        <w:autoSpaceDN w:val="0"/>
        <w:adjustRightInd w:val="0"/>
        <w:spacing w:after="0" w:line="240" w:lineRule="auto"/>
        <w:jc w:val="both"/>
        <w:rPr>
          <w:rFonts w:ascii="Arial Narrow" w:hAnsi="Arial Narrow" w:cs="Tahoma"/>
        </w:rPr>
      </w:pPr>
      <w:r>
        <w:rPr>
          <w:rFonts w:ascii="Arial Narrow" w:hAnsi="Arial Narrow" w:cs="Tahoma"/>
        </w:rPr>
        <w:t>Záujemca</w:t>
      </w:r>
      <w:r w:rsidRPr="007B66A5">
        <w:rPr>
          <w:rFonts w:ascii="Arial Narrow" w:hAnsi="Arial Narrow" w:cs="Tahoma"/>
        </w:rPr>
        <w:t xml:space="preserve"> </w:t>
      </w:r>
      <w:r w:rsidR="00355B92" w:rsidRPr="007B66A5">
        <w:rPr>
          <w:rFonts w:ascii="Arial Narrow" w:hAnsi="Arial Narrow" w:cs="Tahoma"/>
        </w:rPr>
        <w:t>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3636C04A"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výpis z registra trestov </w:t>
      </w:r>
      <w:r w:rsidR="00EA047E">
        <w:rPr>
          <w:rFonts w:ascii="Arial Narrow" w:hAnsi="Arial Narrow" w:cs="Tahoma"/>
        </w:rPr>
        <w:t>záujemcu</w:t>
      </w:r>
      <w:r w:rsidRPr="007B66A5">
        <w:rPr>
          <w:rFonts w:ascii="Arial Narrow" w:hAnsi="Arial Narrow" w:cs="Tahoma"/>
        </w:rPr>
        <w:t>,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06968E2"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výpis z Obchodného registra Slovenskej republiky alebo výpis zo Živnostenského registra Slovenskej republiky, v prípade </w:t>
      </w:r>
      <w:r w:rsidR="0031046D">
        <w:rPr>
          <w:rFonts w:ascii="Arial Narrow" w:hAnsi="Arial Narrow" w:cs="Tahoma"/>
        </w:rPr>
        <w:t xml:space="preserve">ak záujemca </w:t>
      </w:r>
      <w:r w:rsidRPr="007B66A5">
        <w:rPr>
          <w:rFonts w:ascii="Arial Narrow" w:hAnsi="Arial Narrow" w:cs="Tahoma"/>
        </w:rPr>
        <w:t>preuk</w:t>
      </w:r>
      <w:r w:rsidR="0031046D">
        <w:rPr>
          <w:rFonts w:ascii="Arial Narrow" w:hAnsi="Arial Narrow" w:cs="Tahoma"/>
        </w:rPr>
        <w:t>a</w:t>
      </w:r>
      <w:r w:rsidRPr="007B66A5">
        <w:rPr>
          <w:rFonts w:ascii="Arial Narrow" w:hAnsi="Arial Narrow" w:cs="Tahoma"/>
        </w:rPr>
        <w:t>z</w:t>
      </w:r>
      <w:r w:rsidR="0031046D">
        <w:rPr>
          <w:rFonts w:ascii="Arial Narrow" w:hAnsi="Arial Narrow" w:cs="Tahoma"/>
        </w:rPr>
        <w:t>uje</w:t>
      </w:r>
      <w:r w:rsidRPr="007B66A5">
        <w:rPr>
          <w:rFonts w:ascii="Arial Narrow" w:hAnsi="Arial Narrow" w:cs="Tahoma"/>
        </w:rPr>
        <w:t xml:space="preserve"> splneni</w:t>
      </w:r>
      <w:r w:rsidR="0031046D">
        <w:rPr>
          <w:rFonts w:ascii="Arial Narrow" w:hAnsi="Arial Narrow" w:cs="Tahoma"/>
        </w:rPr>
        <w:t>e</w:t>
      </w:r>
      <w:r w:rsidRPr="007B66A5">
        <w:rPr>
          <w:rFonts w:ascii="Arial Narrow" w:hAnsi="Arial Narrow" w:cs="Tahoma"/>
        </w:rPr>
        <w:t xml:space="preserve">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3A773A90" w:rsidR="000F2CF2" w:rsidRPr="00A05F97" w:rsidRDefault="00EA047E" w:rsidP="00A05F97">
      <w:pPr>
        <w:pStyle w:val="Textkomentra"/>
        <w:jc w:val="both"/>
        <w:rPr>
          <w:rFonts w:ascii="Arial Narrow" w:hAnsi="Arial Narrow" w:cs="Arial"/>
          <w:sz w:val="22"/>
          <w:szCs w:val="22"/>
          <w:shd w:val="clear" w:color="auto" w:fill="FFFFFF"/>
        </w:rPr>
      </w:pPr>
      <w:r>
        <w:rPr>
          <w:rFonts w:ascii="Arial Narrow" w:hAnsi="Arial Narrow"/>
          <w:sz w:val="22"/>
          <w:szCs w:val="22"/>
          <w:shd w:val="clear" w:color="auto" w:fill="FFFFFF"/>
        </w:rPr>
        <w:t xml:space="preserve">Záujemca </w:t>
      </w:r>
      <w:r w:rsidR="00355B92" w:rsidRPr="00A05F97">
        <w:rPr>
          <w:rFonts w:ascii="Arial Narrow" w:hAnsi="Arial Narrow"/>
          <w:sz w:val="22"/>
          <w:szCs w:val="22"/>
          <w:shd w:val="clear" w:color="auto" w:fill="FFFFFF"/>
        </w:rPr>
        <w:t>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403616CF"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00EA047E">
        <w:rPr>
          <w:rFonts w:ascii="Arial Narrow" w:hAnsi="Arial Narrow"/>
          <w:shd w:val="clear" w:color="auto" w:fill="FFFFFF"/>
        </w:rPr>
        <w:t>Záujemca</w:t>
      </w:r>
      <w:r w:rsidRPr="00611D99">
        <w:rPr>
          <w:rFonts w:ascii="Arial Narrow" w:hAnsi="Arial Narrow" w:cs="Arial"/>
        </w:rPr>
        <w:t xml:space="preserve">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w:t>
      </w:r>
      <w:r w:rsidR="00356142">
        <w:rPr>
          <w:rFonts w:ascii="Arial Narrow" w:hAnsi="Arial Narrow" w:cs="Arial"/>
        </w:rPr>
        <w:t>m</w:t>
      </w:r>
      <w:r w:rsidR="00A05F97">
        <w:rPr>
          <w:rFonts w:ascii="Arial Narrow" w:hAnsi="Arial Narrow" w:cs="Arial"/>
        </w:rPr>
        <w:t xml:space="preserve"> mimo územia Slovenskej republiky)</w:t>
      </w:r>
      <w:r w:rsidR="004E10DB">
        <w:rPr>
          <w:rFonts w:ascii="Arial Narrow" w:hAnsi="Arial Narrow" w:cs="Arial"/>
        </w:rPr>
        <w:t xml:space="preserve"> na potrebu prípadnej aktualizácie údajov v predmetnom zápise.</w:t>
      </w:r>
    </w:p>
    <w:p w14:paraId="48D62DF1" w14:textId="28625139"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lastRenderedPageBreak/>
        <w:t xml:space="preserve">Verejný obstarávateľ uzná rovnocenný zápis ako je zápis do zoznamu hospodárskych subjektov podľa zákona, alebo potvrdenie o zápise vydané príslušným orgánom iného členského štátu, ktorým </w:t>
      </w:r>
      <w:r w:rsidR="00EA047E">
        <w:rPr>
          <w:rFonts w:ascii="Arial Narrow" w:hAnsi="Arial Narrow"/>
          <w:shd w:val="clear" w:color="auto" w:fill="FFFFFF"/>
        </w:rPr>
        <w:t>záujemca</w:t>
      </w:r>
      <w:r w:rsidRPr="00611D99">
        <w:rPr>
          <w:rFonts w:ascii="Arial Narrow" w:hAnsi="Arial Narrow" w:cs="Arial"/>
        </w:rPr>
        <w:t xml:space="preserve"> preukazuje splnenie podmienok účasti vo verejnom obstarávaní. Verejný obstarávateľ príjme aj iný rovnocenný doklad predložený </w:t>
      </w:r>
      <w:r w:rsidR="00EA047E">
        <w:rPr>
          <w:rFonts w:ascii="Arial Narrow" w:hAnsi="Arial Narrow"/>
          <w:shd w:val="clear" w:color="auto" w:fill="FFFFFF"/>
        </w:rPr>
        <w:t>záujemc</w:t>
      </w:r>
      <w:r w:rsidRPr="00611D99">
        <w:rPr>
          <w:rFonts w:ascii="Arial Narrow" w:hAnsi="Arial Narrow" w:cs="Arial"/>
        </w:rPr>
        <w:t>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70848853"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 xml:space="preserve">Ak </w:t>
      </w:r>
      <w:r w:rsidR="00EA047E">
        <w:rPr>
          <w:rFonts w:ascii="Arial Narrow" w:hAnsi="Arial Narrow"/>
          <w:shd w:val="clear" w:color="auto" w:fill="FFFFFF"/>
        </w:rPr>
        <w:t>záujemca</w:t>
      </w:r>
      <w:r w:rsidRPr="00452ED7">
        <w:rPr>
          <w:rFonts w:ascii="Arial Narrow" w:hAnsi="Arial Narrow" w:cs="Arial"/>
        </w:rPr>
        <w:t xml:space="preserve">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sidR="00EA047E">
        <w:rPr>
          <w:rFonts w:ascii="Arial Narrow" w:hAnsi="Arial Narrow"/>
          <w:shd w:val="clear" w:color="auto" w:fill="FFFFFF"/>
        </w:rPr>
        <w:t>záujemca</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sidR="00EA047E">
        <w:rPr>
          <w:rFonts w:ascii="Arial Narrow" w:hAnsi="Arial Narrow"/>
          <w:shd w:val="clear" w:color="auto" w:fill="FFFFFF"/>
        </w:rPr>
        <w:t>záujemca</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264A11B2" w14:textId="77777777" w:rsidR="00452873" w:rsidRPr="00C82268" w:rsidRDefault="00C82268" w:rsidP="00355B92">
      <w:pPr>
        <w:spacing w:before="120" w:after="120" w:line="240" w:lineRule="auto"/>
        <w:jc w:val="both"/>
        <w:rPr>
          <w:rFonts w:ascii="Arial Narrow" w:eastAsia="Times New Roman" w:hAnsi="Arial Narrow" w:cs="Times New Roman"/>
          <w:lang w:eastAsia="sk-SK"/>
        </w:rPr>
      </w:pPr>
      <w:r w:rsidRPr="00C82268">
        <w:rPr>
          <w:rFonts w:ascii="Arial Narrow" w:eastAsia="Times New Roman" w:hAnsi="Arial Narrow" w:cs="Times New Roman"/>
          <w:lang w:eastAsia="sk-SK"/>
        </w:rPr>
        <w:t xml:space="preserve">Nepožaduje sa </w:t>
      </w: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0295AB0A" w14:textId="77777777" w:rsidR="00383553" w:rsidRDefault="00C82268" w:rsidP="00E83526">
      <w:pPr>
        <w:pStyle w:val="Textkomentra"/>
        <w:rPr>
          <w:rFonts w:ascii="Arial Narrow" w:hAnsi="Arial Narrow" w:cs="Arial"/>
          <w:sz w:val="22"/>
          <w:shd w:val="clear" w:color="auto" w:fill="FFFFFF"/>
        </w:rPr>
      </w:pPr>
      <w:r w:rsidRPr="00C82268">
        <w:rPr>
          <w:rFonts w:ascii="Arial Narrow" w:hAnsi="Arial Narrow" w:cs="Arial"/>
          <w:sz w:val="22"/>
          <w:shd w:val="clear" w:color="auto" w:fill="FFFFFF"/>
        </w:rPr>
        <w:t xml:space="preserve">Nepožaduje sa </w:t>
      </w:r>
    </w:p>
    <w:p w14:paraId="155535FF" w14:textId="354F9338" w:rsidR="00383553" w:rsidRPr="005B6588" w:rsidRDefault="00383553" w:rsidP="00E83526">
      <w:pPr>
        <w:pStyle w:val="Textkomentra"/>
        <w:rPr>
          <w:rFonts w:ascii="Arial Narrow" w:hAnsi="Arial Narrow"/>
          <w:shd w:val="clear" w:color="auto" w:fill="FFFFFF"/>
        </w:rPr>
      </w:pP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01B23E77" w:rsidR="00812F8D" w:rsidRPr="00C17DE0" w:rsidRDefault="00F43BC1" w:rsidP="00812F8D">
      <w:pPr>
        <w:autoSpaceDE w:val="0"/>
        <w:autoSpaceDN w:val="0"/>
        <w:adjustRightInd w:val="0"/>
        <w:spacing w:after="0" w:line="240" w:lineRule="auto"/>
        <w:jc w:val="both"/>
        <w:rPr>
          <w:rFonts w:ascii="Arial Narrow" w:hAnsi="Arial Narrow" w:cs="Arial"/>
        </w:rPr>
      </w:pPr>
      <w:bookmarkStart w:id="1" w:name="_Hlk534973667"/>
      <w:r>
        <w:rPr>
          <w:rFonts w:ascii="Arial Narrow" w:hAnsi="Arial Narrow"/>
          <w:shd w:val="clear" w:color="auto" w:fill="FFFFFF"/>
        </w:rPr>
        <w:t>Záujemca</w:t>
      </w:r>
      <w:r w:rsidR="00812F8D" w:rsidRPr="00C17DE0">
        <w:rPr>
          <w:rFonts w:ascii="Arial Narrow" w:hAnsi="Arial Narrow" w:cs="Arial"/>
        </w:rPr>
        <w:t xml:space="preserve"> </w:t>
      </w:r>
      <w:r w:rsidR="00812F8D">
        <w:rPr>
          <w:rFonts w:ascii="Arial Narrow" w:hAnsi="Arial Narrow" w:cs="Arial"/>
        </w:rPr>
        <w:t>je pri preukazovaní</w:t>
      </w:r>
      <w:r w:rsidR="00812F8D" w:rsidRPr="00C17DE0">
        <w:rPr>
          <w:rFonts w:ascii="Arial Narrow" w:hAnsi="Arial Narrow" w:cs="Arial"/>
        </w:rPr>
        <w:t xml:space="preserve"> splneni</w:t>
      </w:r>
      <w:r w:rsidR="00812F8D">
        <w:rPr>
          <w:rFonts w:ascii="Arial Narrow" w:hAnsi="Arial Narrow" w:cs="Arial"/>
        </w:rPr>
        <w:t>a</w:t>
      </w:r>
      <w:r w:rsidR="00812F8D" w:rsidRPr="00C17DE0">
        <w:rPr>
          <w:rFonts w:ascii="Arial Narrow" w:hAnsi="Arial Narrow" w:cs="Arial"/>
        </w:rPr>
        <w:t xml:space="preserve"> podmienok účasti </w:t>
      </w:r>
      <w:r w:rsidR="00812F8D">
        <w:rPr>
          <w:rFonts w:ascii="Arial Narrow" w:hAnsi="Arial Narrow" w:cs="Arial"/>
        </w:rPr>
        <w:t xml:space="preserve">oprávnený postupovať aj spôsobom podľa § 39 zákona, </w:t>
      </w:r>
      <w:proofErr w:type="spellStart"/>
      <w:r w:rsidR="00812F8D" w:rsidRPr="00C17DE0">
        <w:rPr>
          <w:rFonts w:ascii="Arial Narrow" w:hAnsi="Arial Narrow" w:cs="Arial"/>
        </w:rPr>
        <w:t>t.j</w:t>
      </w:r>
      <w:proofErr w:type="spellEnd"/>
      <w:r w:rsidR="00812F8D" w:rsidRPr="00C17DE0">
        <w:rPr>
          <w:rFonts w:ascii="Arial Narrow" w:hAnsi="Arial Narrow" w:cs="Arial"/>
        </w:rPr>
        <w:t xml:space="preserve">. </w:t>
      </w:r>
      <w:r>
        <w:rPr>
          <w:rFonts w:ascii="Arial Narrow" w:hAnsi="Arial Narrow"/>
          <w:shd w:val="clear" w:color="auto" w:fill="FFFFFF"/>
        </w:rPr>
        <w:t>záujemca</w:t>
      </w:r>
      <w:r w:rsidR="00812F8D" w:rsidRPr="00C17DE0">
        <w:rPr>
          <w:rFonts w:ascii="Arial Narrow" w:hAnsi="Arial Narrow" w:cs="Arial"/>
        </w:rPr>
        <w:t xml:space="preserve"> môže predbežne nahradiť doklady na preukázanie splnenia podmienok účasti určené verejným obstarávateľom v tomto verejnom obstarávaní jednotným európskym dokumentom podľa prílohy č. </w:t>
      </w:r>
      <w:r w:rsidR="00FA0E86">
        <w:rPr>
          <w:rFonts w:ascii="Arial Narrow" w:hAnsi="Arial Narrow" w:cs="Arial"/>
        </w:rPr>
        <w:t>X</w:t>
      </w:r>
      <w:r w:rsidR="00FA0E86" w:rsidRPr="00C17DE0">
        <w:rPr>
          <w:rFonts w:ascii="Arial Narrow" w:hAnsi="Arial Narrow" w:cs="Arial"/>
        </w:rPr>
        <w:t xml:space="preserve"> </w:t>
      </w:r>
      <w:r w:rsidR="00812F8D" w:rsidRPr="00C17DE0">
        <w:rPr>
          <w:rFonts w:ascii="Arial Narrow" w:hAnsi="Arial Narrow" w:cs="Arial"/>
        </w:rPr>
        <w:t>Formulár Jednotného európskeho dokumentu týchto súťažných podkladov (ďalej aj ako „JED“).</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2C2AE74D"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w:t>
      </w:r>
      <w:r w:rsidR="00C66502" w:rsidRPr="005B6588">
        <w:rPr>
          <w:rFonts w:ascii="Arial Narrow" w:hAnsi="Arial Narrow"/>
          <w:b/>
          <w:u w:val="single"/>
          <w:shd w:val="clear" w:color="auto" w:fill="FFFFFF"/>
        </w:rPr>
        <w:t>záujemcu</w:t>
      </w:r>
      <w:r w:rsidRPr="00C17DE0">
        <w:rPr>
          <w:rFonts w:ascii="Arial Narrow" w:hAnsi="Arial Narrow" w:cs="Arial"/>
          <w:b/>
          <w:u w:val="single"/>
        </w:rPr>
        <w:t xml:space="preserve">: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7B29D53C"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9" w:history="1">
        <w:r w:rsidR="00655975" w:rsidRPr="007D6D3B">
          <w:rPr>
            <w:rStyle w:val="Hypertextovprepojenie"/>
            <w:rFonts w:ascii="Arial Narrow" w:hAnsi="Arial Narrow" w:cs="Arial Narrow"/>
          </w:rPr>
          <w:t>https://www.uvo.gov.sk/verejny-obstara</w:t>
        </w:r>
        <w:r w:rsidR="00655975" w:rsidRPr="00966C2D">
          <w:rPr>
            <w:rStyle w:val="Hypertextovprepojenie"/>
            <w:rFonts w:ascii="Arial Narrow" w:hAnsi="Arial Narrow" w:cs="Arial Narrow"/>
          </w:rPr>
          <w:t>vatel-obstaravatel/jednotny-europsky-dokument-jed</w:t>
        </w:r>
      </w:hyperlink>
      <w:r w:rsidRPr="00C17DE0">
        <w:rPr>
          <w:rFonts w:ascii="Arial Narrow" w:hAnsi="Arial Narrow" w:cs="Arial"/>
        </w:rPr>
        <w:t>.</w:t>
      </w:r>
    </w:p>
    <w:p w14:paraId="555DA33F" w14:textId="04F83AE2"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 xml:space="preserve">Vo formulári JED </w:t>
      </w:r>
      <w:r w:rsidR="00750949">
        <w:rPr>
          <w:rFonts w:ascii="Arial Narrow" w:hAnsi="Arial Narrow"/>
          <w:shd w:val="clear" w:color="auto" w:fill="FFFFFF"/>
        </w:rPr>
        <w:t>záujemca</w:t>
      </w:r>
      <w:r w:rsidRPr="001C124D">
        <w:rPr>
          <w:rFonts w:ascii="Arial Narrow" w:hAnsi="Arial Narrow" w:cs="Arial"/>
          <w:lang w:eastAsia="sk-SK"/>
        </w:rPr>
        <w:t xml:space="preserve">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19F891C6"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AB0364">
        <w:rPr>
          <w:rFonts w:ascii="Arial Narrow" w:hAnsi="Arial Narrow" w:cs="Arial"/>
          <w:color w:val="000000"/>
        </w:rPr>
        <w:t xml:space="preserve"> (predmetný oddiel sa vzťahuje  k podmienke účasti ohľadne osobného postavenia podľa § 32 ods. 1 písm. e) zákona a k podmienkam účasti ohľadne ekonomického postavenia podľa § 33 zákona, technickej spôsobilosti podľa §§ 34 až 36 zákona)</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2B889E9" w14:textId="3ABF4CED" w:rsidR="00E4378E" w:rsidRDefault="00750949" w:rsidP="00E4378E">
      <w:pPr>
        <w:autoSpaceDE w:val="0"/>
        <w:autoSpaceDN w:val="0"/>
        <w:adjustRightInd w:val="0"/>
        <w:spacing w:before="120" w:after="120" w:line="240" w:lineRule="auto"/>
        <w:jc w:val="both"/>
        <w:rPr>
          <w:rFonts w:ascii="Arial Narrow" w:hAnsi="Arial Narrow"/>
        </w:rPr>
      </w:pPr>
      <w:r>
        <w:rPr>
          <w:rFonts w:ascii="Arial Narrow" w:hAnsi="Arial Narrow"/>
          <w:shd w:val="clear" w:color="auto" w:fill="FFFFFF"/>
        </w:rPr>
        <w:t>Záujemca</w:t>
      </w:r>
      <w:r w:rsidR="00812F8D" w:rsidRPr="00887ABD">
        <w:rPr>
          <w:rFonts w:ascii="Arial Narrow" w:hAnsi="Arial Narrow"/>
        </w:rPr>
        <w:t xml:space="preserve"> uvedie v </w:t>
      </w:r>
      <w:r w:rsidR="00812F8D">
        <w:rPr>
          <w:rFonts w:ascii="Arial Narrow" w:hAnsi="Arial Narrow"/>
        </w:rPr>
        <w:t>JED</w:t>
      </w:r>
      <w:r w:rsidR="00812F8D" w:rsidRPr="00887ABD">
        <w:rPr>
          <w:rFonts w:ascii="Arial Narrow" w:hAnsi="Arial Narrow"/>
        </w:rPr>
        <w:t xml:space="preserve"> všetky relevantné informácie požadované verejným obstarávateľom, </w:t>
      </w:r>
      <w:r w:rsidR="00812F8D" w:rsidRPr="001C124D">
        <w:rPr>
          <w:rFonts w:ascii="Arial Narrow" w:hAnsi="Arial Narrow"/>
        </w:rPr>
        <w:t>uvedené v oznámení o vyhlásení verejného obstarávania a v týchto súťažných podkladoch</w:t>
      </w:r>
      <w:r w:rsidR="00812F8D" w:rsidRPr="00BB3BDC">
        <w:rPr>
          <w:rFonts w:ascii="Arial Narrow" w:hAnsi="Arial Narrow"/>
        </w:rPr>
        <w:t>, ktoré vyplní podľa pokynov verejného obsta</w:t>
      </w:r>
      <w:r w:rsidR="00812F8D" w:rsidRPr="00887ABD">
        <w:rPr>
          <w:rFonts w:ascii="Arial Narrow" w:hAnsi="Arial Narrow"/>
        </w:rPr>
        <w:t>rávateľa, ako aj pokynov Úradu pre verejné obstarávanie uvedených v manuáli na stránke Úradu pre verejné obstarávanie -</w:t>
      </w:r>
      <w:r w:rsidR="00812F8D">
        <w:rPr>
          <w:rFonts w:ascii="Arial Narrow" w:hAnsi="Arial Narrow"/>
        </w:rPr>
        <w:t xml:space="preserve"> </w:t>
      </w:r>
      <w:hyperlink r:id="rId10" w:history="1">
        <w:r w:rsidR="00655975" w:rsidRPr="007D6D3B">
          <w:rPr>
            <w:rStyle w:val="Hypertextovprepojenie"/>
            <w:rFonts w:ascii="Arial Narrow" w:hAnsi="Arial Narrow" w:cs="Arial Narrow"/>
          </w:rPr>
          <w:t>https://www.uvo.gov.sk/verejny-obstara</w:t>
        </w:r>
        <w:r w:rsidR="00655975" w:rsidRPr="00966C2D">
          <w:rPr>
            <w:rStyle w:val="Hypertextovprepojenie"/>
            <w:rFonts w:ascii="Arial Narrow" w:hAnsi="Arial Narrow" w:cs="Arial Narrow"/>
          </w:rPr>
          <w:t>vatel-obstaravatel/jednotny-europsky-dokument-jed</w:t>
        </w:r>
      </w:hyperlink>
      <w:r w:rsidR="00812F8D" w:rsidRPr="00FC7507">
        <w:rPr>
          <w:rFonts w:ascii="Arial Narrow" w:hAnsi="Arial Narrow"/>
        </w:rPr>
        <w:t xml:space="preserve">, </w:t>
      </w:r>
      <w:r w:rsidR="00E4378E">
        <w:rPr>
          <w:rFonts w:ascii="Arial Narrow" w:hAnsi="Arial Narrow"/>
        </w:rPr>
        <w:lastRenderedPageBreak/>
        <w:t>vrátane</w:t>
      </w:r>
      <w:r w:rsidR="00E4378E" w:rsidRPr="007D6D3B">
        <w:rPr>
          <w:rFonts w:ascii="Arial Narrow" w:hAnsi="Arial Narrow"/>
        </w:rPr>
        <w:t xml:space="preserve"> časti I. označenej ako „Informácie týkajúce sa postupu verejného obstarávania a verejného obstarávateľa“</w:t>
      </w:r>
      <w:r w:rsidR="00E4378E">
        <w:rPr>
          <w:rFonts w:ascii="Arial Narrow" w:hAnsi="Arial Narrow"/>
        </w:rPr>
        <w:t>, kde uchádzač vyplní údaje nasledovne:</w:t>
      </w:r>
    </w:p>
    <w:p w14:paraId="6C8F8EBA"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„Informácie o uverejnení“</w:t>
      </w:r>
    </w:p>
    <w:p w14:paraId="5A6362AA"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 xml:space="preserve">Číslo oznámenia v Úradnom vestníku S: </w:t>
      </w:r>
      <w:r w:rsidRPr="00F5785F">
        <w:rPr>
          <w:rFonts w:ascii="Arial Narrow" w:hAnsi="Arial Narrow"/>
          <w:highlight w:val="green"/>
        </w:rPr>
        <w:t>..........................</w:t>
      </w:r>
    </w:p>
    <w:p w14:paraId="31CCFF95"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„Identifikácia obstarávateľa“</w:t>
      </w:r>
    </w:p>
    <w:p w14:paraId="2075B938" w14:textId="77777777"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Úradný názov: </w:t>
      </w:r>
      <w:r w:rsidRPr="00F5785F">
        <w:rPr>
          <w:rFonts w:ascii="Arial Narrow" w:hAnsi="Arial Narrow"/>
          <w:highlight w:val="green"/>
        </w:rPr>
        <w:t>..........................</w:t>
      </w:r>
    </w:p>
    <w:p w14:paraId="5F4F54C3" w14:textId="77777777"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Krajina: </w:t>
      </w:r>
      <w:r w:rsidRPr="00F5785F">
        <w:rPr>
          <w:rFonts w:ascii="Arial Narrow" w:hAnsi="Arial Narrow"/>
          <w:b/>
          <w:highlight w:val="green"/>
        </w:rPr>
        <w:t>Slovensko</w:t>
      </w:r>
    </w:p>
    <w:p w14:paraId="01739842"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„Informácie o postupe verejného obstarávania“</w:t>
      </w:r>
    </w:p>
    <w:p w14:paraId="4AA4C02B" w14:textId="1221C1BF"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Druh postupu: </w:t>
      </w:r>
      <w:r w:rsidR="002B0C6A">
        <w:rPr>
          <w:rFonts w:ascii="Arial Narrow" w:hAnsi="Arial Narrow"/>
          <w:b/>
          <w:highlight w:val="green"/>
        </w:rPr>
        <w:t xml:space="preserve">Užšia </w:t>
      </w:r>
      <w:r w:rsidRPr="00F5785F">
        <w:rPr>
          <w:rFonts w:ascii="Arial Narrow" w:hAnsi="Arial Narrow"/>
          <w:b/>
          <w:highlight w:val="green"/>
        </w:rPr>
        <w:t>súťaž</w:t>
      </w:r>
    </w:p>
    <w:p w14:paraId="2D6D0133" w14:textId="77777777"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Názov: </w:t>
      </w:r>
      <w:r w:rsidRPr="00F5785F">
        <w:rPr>
          <w:rFonts w:ascii="Arial Narrow" w:hAnsi="Arial Narrow"/>
          <w:highlight w:val="green"/>
        </w:rPr>
        <w:t>..........................</w:t>
      </w:r>
      <w:r w:rsidRPr="00994B35">
        <w:rPr>
          <w:rFonts w:ascii="Arial Narrow" w:hAnsi="Arial Narrow"/>
          <w:b/>
        </w:rPr>
        <w:t xml:space="preserve"> </w:t>
      </w:r>
    </w:p>
    <w:p w14:paraId="49D3BCB8"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Referenčné číslo spisu, ktoré pridelil verejný obstarávateľ alebo obstarávateľ:</w:t>
      </w:r>
      <w:r w:rsidRPr="00E01F10">
        <w:rPr>
          <w:rFonts w:ascii="Arial Narrow" w:hAnsi="Arial Narrow"/>
          <w:highlight w:val="green"/>
        </w:rPr>
        <w:t xml:space="preserve"> </w:t>
      </w:r>
      <w:r w:rsidRPr="00F5785F">
        <w:rPr>
          <w:rFonts w:ascii="Arial Narrow" w:hAnsi="Arial Narrow"/>
          <w:highlight w:val="green"/>
        </w:rPr>
        <w:t>..........................</w:t>
      </w:r>
      <w:r w:rsidRPr="00E7688B">
        <w:rPr>
          <w:rFonts w:ascii="Arial Narrow" w:hAnsi="Arial Narrow"/>
        </w:rPr>
        <w:t>.</w:t>
      </w:r>
    </w:p>
    <w:p w14:paraId="384943A1" w14:textId="08C30267" w:rsidR="00812F8D" w:rsidRDefault="00E4378E" w:rsidP="00E4378E">
      <w:pPr>
        <w:autoSpaceDE w:val="0"/>
        <w:autoSpaceDN w:val="0"/>
        <w:adjustRightInd w:val="0"/>
        <w:spacing w:before="120" w:after="120" w:line="240" w:lineRule="auto"/>
        <w:jc w:val="both"/>
        <w:rPr>
          <w:rFonts w:ascii="Arial Narrow" w:hAnsi="Arial Narrow"/>
        </w:rPr>
      </w:pPr>
      <w:r w:rsidRPr="00E861A3">
        <w:rPr>
          <w:rFonts w:ascii="Arial Narrow" w:hAnsi="Arial Narrow"/>
        </w:rPr>
        <w:t>Verejný obstarávateľ upozorňuje uchádzačov/záujemcov, aby si do vzoru formulára jednotného európskeho dokumentu vo formáte .</w:t>
      </w:r>
      <w:proofErr w:type="spellStart"/>
      <w:r w:rsidRPr="00E861A3">
        <w:rPr>
          <w:rFonts w:ascii="Arial Narrow" w:hAnsi="Arial Narrow"/>
        </w:rPr>
        <w:t>rtf</w:t>
      </w:r>
      <w:proofErr w:type="spellEnd"/>
      <w:r w:rsidRPr="00E861A3">
        <w:rPr>
          <w:rFonts w:ascii="Arial Narrow" w:hAnsi="Arial Narrow"/>
        </w:rPr>
        <w:t>, umožňujúceho jeho priame vypĺňanie, sami preniesli, resp. prepísali údaje</w:t>
      </w:r>
      <w:r>
        <w:rPr>
          <w:rFonts w:ascii="Arial Narrow" w:hAnsi="Arial Narrow"/>
        </w:rPr>
        <w:t xml:space="preserve"> časti I. JED</w:t>
      </w:r>
      <w:r w:rsidRPr="00E861A3">
        <w:rPr>
          <w:rFonts w:ascii="Arial Narrow" w:hAnsi="Arial Narrow"/>
        </w:rPr>
        <w:t xml:space="preserve"> uvedené v</w:t>
      </w:r>
      <w:r>
        <w:rPr>
          <w:rFonts w:ascii="Arial Narrow" w:hAnsi="Arial Narrow"/>
        </w:rPr>
        <w:t> odseku vyššie (označené zelenou farbou)</w:t>
      </w:r>
      <w:r w:rsidRPr="00E861A3">
        <w:rPr>
          <w:rFonts w:ascii="Arial Narrow" w:hAnsi="Arial Narrow"/>
        </w:rPr>
        <w:t xml:space="preserve"> obsahujúce informácie týkajúce sa postupu verejného obstarávania a identifikácie verejného obstarávateľa.</w:t>
      </w:r>
    </w:p>
    <w:p w14:paraId="6DB44855" w14:textId="04FC43AC"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w:t>
      </w:r>
      <w:r w:rsidR="00750949">
        <w:rPr>
          <w:rFonts w:ascii="Arial Narrow" w:hAnsi="Arial Narrow"/>
          <w:shd w:val="clear" w:color="auto" w:fill="FFFFFF"/>
        </w:rPr>
        <w:t>záujemca</w:t>
      </w:r>
      <w:r w:rsidRPr="00887ABD">
        <w:rPr>
          <w:rFonts w:ascii="Arial Narrow" w:hAnsi="Arial Narrow"/>
        </w:rPr>
        <w:t xml:space="preserve">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w:t>
      </w:r>
      <w:r w:rsidR="00750949">
        <w:rPr>
          <w:rFonts w:ascii="Arial Narrow" w:hAnsi="Arial Narrow"/>
          <w:shd w:val="clear" w:color="auto" w:fill="FFFFFF"/>
        </w:rPr>
        <w:t>záujemca</w:t>
      </w:r>
      <w:r w:rsidRPr="00887ABD">
        <w:rPr>
          <w:rFonts w:ascii="Arial Narrow" w:hAnsi="Arial Narrow"/>
        </w:rPr>
        <w:t xml:space="preserve"> za takýchto subdodávateľov, ktorých kapacity </w:t>
      </w:r>
      <w:r w:rsidR="00750949">
        <w:rPr>
          <w:rFonts w:ascii="Arial Narrow" w:hAnsi="Arial Narrow"/>
          <w:shd w:val="clear" w:color="auto" w:fill="FFFFFF"/>
        </w:rPr>
        <w:t>záujemca</w:t>
      </w:r>
      <w:r w:rsidRPr="00887ABD">
        <w:rPr>
          <w:rFonts w:ascii="Arial Narrow" w:hAnsi="Arial Narrow"/>
        </w:rPr>
        <w:t xml:space="preserve">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5CBCE2B7" w:rsidR="00812F8D" w:rsidRPr="00887ABD" w:rsidRDefault="00750949" w:rsidP="00812F8D">
      <w:pPr>
        <w:spacing w:before="120" w:after="120" w:line="240" w:lineRule="auto"/>
        <w:jc w:val="both"/>
        <w:rPr>
          <w:rFonts w:ascii="Arial Narrow" w:hAnsi="Arial Narrow"/>
        </w:rPr>
      </w:pPr>
      <w:r>
        <w:rPr>
          <w:rFonts w:ascii="Arial Narrow" w:hAnsi="Arial Narrow"/>
          <w:shd w:val="clear" w:color="auto" w:fill="FFFFFF"/>
        </w:rPr>
        <w:t>Záujemca</w:t>
      </w:r>
      <w:r w:rsidR="00812F8D" w:rsidRPr="00887ABD">
        <w:rPr>
          <w:rFonts w:ascii="Arial Narrow" w:hAnsi="Arial Narrow"/>
          <w:b/>
        </w:rPr>
        <w:t>, ktorý sa</w:t>
      </w:r>
      <w:r w:rsidR="00812F8D" w:rsidRPr="00887ABD">
        <w:rPr>
          <w:rFonts w:ascii="Arial Narrow" w:hAnsi="Arial Narrow"/>
        </w:rPr>
        <w:t xml:space="preserve"> verejného obstarávania </w:t>
      </w:r>
      <w:r w:rsidR="00812F8D" w:rsidRPr="00887ABD">
        <w:rPr>
          <w:rFonts w:ascii="Arial Narrow" w:hAnsi="Arial Narrow"/>
          <w:b/>
        </w:rPr>
        <w:t>zúčastňuje samostatne</w:t>
      </w:r>
      <w:r w:rsidR="00812F8D" w:rsidRPr="00887ABD">
        <w:rPr>
          <w:rFonts w:ascii="Arial Narrow" w:hAnsi="Arial Narrow"/>
        </w:rPr>
        <w:t xml:space="preserve"> a ktorý nevyužíva zdroje a/alebo kapacity iných osôb na preukázanie splnenia podmienok účasti, </w:t>
      </w:r>
      <w:r w:rsidR="00812F8D" w:rsidRPr="00887ABD">
        <w:rPr>
          <w:rFonts w:ascii="Arial Narrow" w:hAnsi="Arial Narrow"/>
          <w:b/>
        </w:rPr>
        <w:t xml:space="preserve">vyplní, podpíše a predloží jeden </w:t>
      </w:r>
      <w:r w:rsidR="00812F8D">
        <w:rPr>
          <w:rFonts w:ascii="Arial Narrow" w:hAnsi="Arial Narrow"/>
          <w:b/>
        </w:rPr>
        <w:t>JED.</w:t>
      </w:r>
    </w:p>
    <w:p w14:paraId="391DC919" w14:textId="5914441C" w:rsidR="00812F8D" w:rsidRPr="00887ABD" w:rsidRDefault="00750949" w:rsidP="00812F8D">
      <w:pPr>
        <w:spacing w:before="120" w:after="120" w:line="240" w:lineRule="auto"/>
        <w:jc w:val="both"/>
        <w:rPr>
          <w:rFonts w:ascii="Arial Narrow" w:hAnsi="Arial Narrow"/>
        </w:rPr>
      </w:pPr>
      <w:r>
        <w:rPr>
          <w:rFonts w:ascii="Arial Narrow" w:hAnsi="Arial Narrow"/>
          <w:shd w:val="clear" w:color="auto" w:fill="FFFFFF"/>
        </w:rPr>
        <w:t>Záujemca</w:t>
      </w:r>
      <w:r w:rsidR="00812F8D" w:rsidRPr="00887ABD">
        <w:rPr>
          <w:rFonts w:ascii="Arial Narrow" w:hAnsi="Arial Narrow"/>
        </w:rPr>
        <w:t xml:space="preserve">, ktorý sa verejného obstarávania zúčastňuje samostatne, </w:t>
      </w:r>
      <w:r w:rsidR="00812F8D" w:rsidRPr="00887ABD">
        <w:rPr>
          <w:rFonts w:ascii="Arial Narrow" w:hAnsi="Arial Narrow"/>
          <w:b/>
        </w:rPr>
        <w:t>ale využíva zdroje a/alebo kapacity iných osôb na preukázanie splnenia podmienok účasti</w:t>
      </w:r>
      <w:r w:rsidR="00812F8D" w:rsidRPr="00887ABD">
        <w:rPr>
          <w:rFonts w:ascii="Arial Narrow" w:hAnsi="Arial Narrow"/>
        </w:rPr>
        <w:t xml:space="preserve">, </w:t>
      </w:r>
      <w:r w:rsidR="00812F8D" w:rsidRPr="00887ABD">
        <w:rPr>
          <w:rFonts w:ascii="Arial Narrow" w:hAnsi="Arial Narrow"/>
          <w:b/>
        </w:rPr>
        <w:t xml:space="preserve">vyplní, podpíše a predloží </w:t>
      </w:r>
      <w:r w:rsidR="00812F8D">
        <w:rPr>
          <w:rFonts w:ascii="Arial Narrow" w:hAnsi="Arial Narrow"/>
          <w:b/>
        </w:rPr>
        <w:t>JED</w:t>
      </w:r>
      <w:r w:rsidR="00812F8D" w:rsidRPr="00887ABD">
        <w:rPr>
          <w:rFonts w:ascii="Arial Narrow" w:hAnsi="Arial Narrow"/>
          <w:b/>
        </w:rPr>
        <w:t xml:space="preserve"> za seba spolu s vyplneným/vyplnenými,</w:t>
      </w:r>
      <w:r w:rsidR="00812F8D" w:rsidRPr="00887ABD">
        <w:rPr>
          <w:rFonts w:ascii="Arial Narrow" w:hAnsi="Arial Narrow"/>
        </w:rPr>
        <w:t xml:space="preserve"> </w:t>
      </w:r>
      <w:r w:rsidR="00812F8D" w:rsidRPr="00887ABD">
        <w:rPr>
          <w:rFonts w:ascii="Arial Narrow" w:hAnsi="Arial Narrow"/>
          <w:b/>
        </w:rPr>
        <w:t xml:space="preserve">podpísaným/podpísanými samostatným/samostatnými </w:t>
      </w:r>
      <w:r w:rsidR="00812F8D">
        <w:rPr>
          <w:rFonts w:ascii="Arial Narrow" w:hAnsi="Arial Narrow"/>
          <w:b/>
        </w:rPr>
        <w:t>JED/JED</w:t>
      </w:r>
      <w:r w:rsidR="00812F8D" w:rsidRPr="00887ABD">
        <w:rPr>
          <w:rFonts w:ascii="Arial Narrow" w:hAnsi="Arial Narrow"/>
        </w:rPr>
        <w:t xml:space="preserve">, ktorý/ktoré obsahuje/obsahujú príslušné informácie </w:t>
      </w:r>
      <w:r w:rsidR="00812F8D" w:rsidRPr="00887ABD">
        <w:rPr>
          <w:rFonts w:ascii="Arial Narrow" w:hAnsi="Arial Narrow"/>
          <w:b/>
        </w:rPr>
        <w:t xml:space="preserve">a podpis každej z osôb, ktorých zdroje a/alebo kapacity využíva </w:t>
      </w:r>
      <w:r>
        <w:rPr>
          <w:rFonts w:ascii="Arial Narrow" w:hAnsi="Arial Narrow"/>
          <w:shd w:val="clear" w:color="auto" w:fill="FFFFFF"/>
        </w:rPr>
        <w:t>záujemca</w:t>
      </w:r>
      <w:r w:rsidR="00812F8D" w:rsidRPr="00887ABD">
        <w:rPr>
          <w:rFonts w:ascii="Arial Narrow" w:hAnsi="Arial Narrow"/>
          <w:b/>
        </w:rPr>
        <w:t xml:space="preserve"> na preukázanie splnenia podmienok účasti v tomto verejnom obstarávaní.</w:t>
      </w:r>
    </w:p>
    <w:p w14:paraId="46B899A6" w14:textId="1B3543FD"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 xml:space="preserve">V prípade, že </w:t>
      </w:r>
      <w:r w:rsidR="00750949">
        <w:rPr>
          <w:rFonts w:ascii="Arial Narrow" w:hAnsi="Arial Narrow"/>
          <w:shd w:val="clear" w:color="auto" w:fill="FFFFFF"/>
        </w:rPr>
        <w:t>záujemcu</w:t>
      </w:r>
      <w:r w:rsidRPr="00887ABD">
        <w:rPr>
          <w:rFonts w:ascii="Arial Narrow" w:hAnsi="Arial Narrow"/>
          <w:b/>
        </w:rPr>
        <w:t xml:space="preserve"> tvorí skupina dodávateľov</w:t>
      </w:r>
      <w:r w:rsidRPr="00887ABD">
        <w:rPr>
          <w:rFonts w:ascii="Arial Narrow" w:hAnsi="Arial Narrow"/>
        </w:rPr>
        <w:t xml:space="preserve"> zúčastnená vo verejnom obstarávaní, </w:t>
      </w:r>
      <w:r w:rsidR="00750949">
        <w:rPr>
          <w:rFonts w:ascii="Arial Narrow" w:hAnsi="Arial Narrow"/>
          <w:shd w:val="clear" w:color="auto" w:fill="FFFFFF"/>
        </w:rPr>
        <w:t>záujemca</w:t>
      </w:r>
      <w:r w:rsidRPr="00887ABD">
        <w:rPr>
          <w:rFonts w:ascii="Arial Narrow" w:hAnsi="Arial Narrow"/>
        </w:rPr>
        <w:t xml:space="preserve">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186C525D"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 xml:space="preserve">Podľa § 39 ods. 6 zákona, ak </w:t>
      </w:r>
      <w:r w:rsidR="00750949">
        <w:rPr>
          <w:rFonts w:ascii="Arial Narrow" w:hAnsi="Arial Narrow"/>
          <w:shd w:val="clear" w:color="auto" w:fill="FFFFFF"/>
        </w:rPr>
        <w:t>záujemca</w:t>
      </w:r>
      <w:r w:rsidRPr="00887ABD">
        <w:rPr>
          <w:rFonts w:ascii="Arial Narrow" w:hAnsi="Arial Narrow"/>
        </w:rPr>
        <w:t xml:space="preserve">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w:t>
      </w:r>
      <w:r w:rsidR="00750949">
        <w:rPr>
          <w:rFonts w:ascii="Arial Narrow" w:hAnsi="Arial Narrow"/>
          <w:shd w:val="clear" w:color="auto" w:fill="FFFFFF"/>
        </w:rPr>
        <w:t>záujemcu</w:t>
      </w:r>
      <w:r w:rsidRPr="00887ABD">
        <w:rPr>
          <w:rFonts w:ascii="Arial Narrow" w:hAnsi="Arial Narrow"/>
        </w:rPr>
        <w:t xml:space="preserve"> o predloženie dokladu alebo dokladov nahradených </w:t>
      </w:r>
      <w:r>
        <w:rPr>
          <w:rFonts w:ascii="Arial Narrow" w:hAnsi="Arial Narrow"/>
        </w:rPr>
        <w:t>JED</w:t>
      </w:r>
      <w:r w:rsidRPr="00887ABD">
        <w:rPr>
          <w:rFonts w:ascii="Arial Narrow" w:hAnsi="Arial Narrow"/>
        </w:rPr>
        <w:t xml:space="preserve">. </w:t>
      </w:r>
      <w:r w:rsidR="00750949">
        <w:rPr>
          <w:rFonts w:ascii="Arial Narrow" w:hAnsi="Arial Narrow"/>
          <w:shd w:val="clear" w:color="auto" w:fill="FFFFFF"/>
        </w:rPr>
        <w:t>Záujemca</w:t>
      </w:r>
      <w:r w:rsidRPr="00887ABD">
        <w:rPr>
          <w:rFonts w:ascii="Arial Narrow" w:hAnsi="Arial Narrow"/>
        </w:rPr>
        <w:t xml:space="preserve">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390B03B8" w14:textId="2B534C1F" w:rsidR="00443CAE" w:rsidRPr="00C17DE0" w:rsidRDefault="00443CAE" w:rsidP="00812F8D">
      <w:pPr>
        <w:spacing w:before="120" w:after="120" w:line="240" w:lineRule="auto"/>
        <w:jc w:val="both"/>
        <w:rPr>
          <w:rFonts w:ascii="Arial Narrow" w:hAnsi="Arial Narrow" w:cs="Arial"/>
        </w:rPr>
      </w:pPr>
      <w:r w:rsidRPr="00887ABD">
        <w:rPr>
          <w:rFonts w:ascii="Arial Narrow" w:hAnsi="Arial Narrow" w:cs="Arial"/>
        </w:rPr>
        <w:t>V</w:t>
      </w:r>
      <w:r>
        <w:rPr>
          <w:rFonts w:ascii="Arial Narrow" w:hAnsi="Arial Narrow" w:cs="Arial"/>
        </w:rPr>
        <w:t> </w:t>
      </w:r>
      <w:r w:rsidRPr="00887ABD">
        <w:rPr>
          <w:rFonts w:ascii="Arial Narrow" w:hAnsi="Arial Narrow" w:cs="Arial"/>
        </w:rPr>
        <w:t>prípade</w:t>
      </w:r>
      <w:r>
        <w:rPr>
          <w:rFonts w:ascii="Arial Narrow" w:hAnsi="Arial Narrow" w:cs="Arial"/>
        </w:rPr>
        <w:t xml:space="preserve">, ak </w:t>
      </w:r>
      <w:r w:rsidR="00117A4B">
        <w:rPr>
          <w:rFonts w:ascii="Arial Narrow" w:hAnsi="Arial Narrow" w:cs="Arial"/>
        </w:rPr>
        <w:t>záujemca</w:t>
      </w:r>
      <w:r w:rsidR="00117A4B" w:rsidRPr="00887ABD">
        <w:rPr>
          <w:rFonts w:ascii="Arial Narrow" w:hAnsi="Arial Narrow" w:cs="Arial"/>
        </w:rPr>
        <w:t xml:space="preserve"> </w:t>
      </w:r>
      <w:r>
        <w:rPr>
          <w:rFonts w:ascii="Arial Narrow" w:hAnsi="Arial Narrow" w:cs="Arial"/>
        </w:rPr>
        <w:t>predkladá</w:t>
      </w:r>
      <w:r w:rsidRPr="00887ABD">
        <w:rPr>
          <w:rFonts w:ascii="Arial Narrow" w:hAnsi="Arial Narrow" w:cs="Arial"/>
        </w:rPr>
        <w:t xml:space="preserve"> vo verejn</w:t>
      </w:r>
      <w:r>
        <w:rPr>
          <w:rFonts w:ascii="Arial Narrow" w:hAnsi="Arial Narrow" w:cs="Arial"/>
        </w:rPr>
        <w:t>om</w:t>
      </w:r>
      <w:r w:rsidRPr="00887ABD">
        <w:rPr>
          <w:rFonts w:ascii="Arial Narrow" w:hAnsi="Arial Narrow" w:cs="Arial"/>
        </w:rPr>
        <w:t xml:space="preserve"> obstarávan</w:t>
      </w:r>
      <w:r>
        <w:rPr>
          <w:rFonts w:ascii="Arial Narrow" w:hAnsi="Arial Narrow" w:cs="Arial"/>
        </w:rPr>
        <w:t>í</w:t>
      </w:r>
      <w:r w:rsidRPr="00887ABD">
        <w:rPr>
          <w:rFonts w:ascii="Arial Narrow" w:hAnsi="Arial Narrow" w:cs="Arial"/>
        </w:rPr>
        <w:t xml:space="preserve"> </w:t>
      </w:r>
      <w:r>
        <w:rPr>
          <w:rFonts w:ascii="Arial Narrow" w:hAnsi="Arial Narrow" w:cs="Arial"/>
        </w:rPr>
        <w:t xml:space="preserve">svoju </w:t>
      </w:r>
      <w:r w:rsidR="00117A4B">
        <w:rPr>
          <w:rFonts w:ascii="Arial Narrow" w:hAnsi="Arial Narrow" w:cs="Arial"/>
        </w:rPr>
        <w:t xml:space="preserve">žiadosť o účasť </w:t>
      </w:r>
      <w:r>
        <w:rPr>
          <w:rFonts w:ascii="Arial Narrow" w:hAnsi="Arial Narrow" w:cs="Arial"/>
        </w:rPr>
        <w:t xml:space="preserve">na viac </w:t>
      </w:r>
      <w:r w:rsidR="00117A4B">
        <w:rPr>
          <w:rFonts w:ascii="Arial Narrow" w:hAnsi="Arial Narrow" w:cs="Arial"/>
        </w:rPr>
        <w:t>kategórií DNS</w:t>
      </w:r>
      <w:r>
        <w:rPr>
          <w:rFonts w:ascii="Arial Narrow" w:hAnsi="Arial Narrow" w:cs="Arial"/>
        </w:rPr>
        <w:t>,</w:t>
      </w:r>
      <w:r w:rsidRPr="000A0849">
        <w:rPr>
          <w:rFonts w:ascii="Arial Narrow" w:hAnsi="Arial Narrow" w:cs="Arial"/>
        </w:rPr>
        <w:t xml:space="preserve"> </w:t>
      </w:r>
      <w:r w:rsidRPr="00887ABD">
        <w:rPr>
          <w:rFonts w:ascii="Arial Narrow" w:hAnsi="Arial Narrow" w:cs="Arial"/>
        </w:rPr>
        <w:t xml:space="preserve">vyžaduje sa predloženie požadovaného dokumentu </w:t>
      </w:r>
      <w:r>
        <w:rPr>
          <w:rFonts w:ascii="Arial Narrow" w:hAnsi="Arial Narrow" w:cs="Arial"/>
        </w:rPr>
        <w:t>spoločne</w:t>
      </w:r>
      <w:r w:rsidRPr="00887ABD">
        <w:rPr>
          <w:rFonts w:ascii="Arial Narrow" w:hAnsi="Arial Narrow" w:cs="Arial"/>
        </w:rPr>
        <w:t xml:space="preserve"> pre </w:t>
      </w:r>
      <w:r>
        <w:rPr>
          <w:rFonts w:ascii="Arial Narrow" w:hAnsi="Arial Narrow" w:cs="Arial"/>
        </w:rPr>
        <w:t xml:space="preserve">všetky </w:t>
      </w:r>
      <w:r w:rsidR="00117A4B">
        <w:rPr>
          <w:rFonts w:ascii="Arial Narrow" w:hAnsi="Arial Narrow" w:cs="Arial"/>
        </w:rPr>
        <w:t>kategórie DNS</w:t>
      </w:r>
      <w:r>
        <w:rPr>
          <w:rFonts w:ascii="Arial Narrow" w:hAnsi="Arial Narrow" w:cs="Arial"/>
        </w:rPr>
        <w:t xml:space="preserve">, na ktoré predkladá </w:t>
      </w:r>
      <w:r w:rsidR="00117A4B">
        <w:rPr>
          <w:rFonts w:ascii="Arial Narrow" w:hAnsi="Arial Narrow" w:cs="Arial"/>
        </w:rPr>
        <w:t xml:space="preserve">záujemca </w:t>
      </w:r>
      <w:r>
        <w:rPr>
          <w:rFonts w:ascii="Arial Narrow" w:hAnsi="Arial Narrow" w:cs="Arial"/>
        </w:rPr>
        <w:t xml:space="preserve">verejnému obstarávateľovi svoju </w:t>
      </w:r>
      <w:r w:rsidR="00117A4B">
        <w:rPr>
          <w:rFonts w:ascii="Arial Narrow" w:hAnsi="Arial Narrow" w:cs="Arial"/>
        </w:rPr>
        <w:t>žiadosť o účasť</w:t>
      </w:r>
      <w:r>
        <w:rPr>
          <w:rFonts w:ascii="Arial Narrow" w:hAnsi="Arial Narrow" w:cs="Arial"/>
        </w:rPr>
        <w:t>.</w:t>
      </w:r>
    </w:p>
    <w:p w14:paraId="57B9AE44" w14:textId="60E35701" w:rsidR="00812F8D" w:rsidRPr="005B6588" w:rsidRDefault="00812F8D" w:rsidP="005B6588">
      <w:pPr>
        <w:ind w:left="360" w:firstLine="348"/>
        <w:jc w:val="both"/>
        <w:rPr>
          <w:rFonts w:ascii="Arial Narrow" w:hAnsi="Arial Narrow"/>
        </w:rPr>
      </w:pPr>
    </w:p>
    <w:sectPr w:rsidR="00812F8D" w:rsidRPr="005B6588" w:rsidSect="00B417C0">
      <w:headerReference w:type="default" r:id="rId11"/>
      <w:footerReference w:type="default" r:id="rId12"/>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7205" w14:textId="77777777" w:rsidR="00E8093A" w:rsidRDefault="00E8093A" w:rsidP="00B417C0">
      <w:pPr>
        <w:spacing w:after="0" w:line="240" w:lineRule="auto"/>
      </w:pPr>
      <w:r>
        <w:separator/>
      </w:r>
    </w:p>
  </w:endnote>
  <w:endnote w:type="continuationSeparator" w:id="0">
    <w:p w14:paraId="7D321CD4" w14:textId="77777777" w:rsidR="00E8093A" w:rsidRDefault="00E8093A" w:rsidP="00B417C0">
      <w:pPr>
        <w:spacing w:after="0" w:line="240" w:lineRule="auto"/>
      </w:pPr>
      <w:r>
        <w:continuationSeparator/>
      </w:r>
    </w:p>
  </w:endnote>
  <w:endnote w:type="continuationNotice" w:id="1">
    <w:p w14:paraId="4F023E6F" w14:textId="77777777" w:rsidR="00E8093A" w:rsidRDefault="00E80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086E" w14:textId="77777777" w:rsidR="00325E2D" w:rsidRDefault="00325E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CCAD0" w14:textId="77777777" w:rsidR="00E8093A" w:rsidRDefault="00E8093A" w:rsidP="00B417C0">
      <w:pPr>
        <w:spacing w:after="0" w:line="240" w:lineRule="auto"/>
      </w:pPr>
      <w:r>
        <w:separator/>
      </w:r>
    </w:p>
  </w:footnote>
  <w:footnote w:type="continuationSeparator" w:id="0">
    <w:p w14:paraId="50D534C5" w14:textId="77777777" w:rsidR="00E8093A" w:rsidRDefault="00E8093A" w:rsidP="00B417C0">
      <w:pPr>
        <w:spacing w:after="0" w:line="240" w:lineRule="auto"/>
      </w:pPr>
      <w:r>
        <w:continuationSeparator/>
      </w:r>
    </w:p>
  </w:footnote>
  <w:footnote w:type="continuationNotice" w:id="1">
    <w:p w14:paraId="7075A6A8" w14:textId="77777777" w:rsidR="00E8093A" w:rsidRDefault="00E80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FF40" w14:textId="77777777" w:rsidR="00325E2D" w:rsidRDefault="00325E2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2080"/>
    <w:rsid w:val="000142DF"/>
    <w:rsid w:val="000219FC"/>
    <w:rsid w:val="00025C2A"/>
    <w:rsid w:val="00025E7E"/>
    <w:rsid w:val="00053707"/>
    <w:rsid w:val="00054D3B"/>
    <w:rsid w:val="00056D91"/>
    <w:rsid w:val="00060EB9"/>
    <w:rsid w:val="0009668D"/>
    <w:rsid w:val="000B7DC7"/>
    <w:rsid w:val="000F2CF2"/>
    <w:rsid w:val="001025A4"/>
    <w:rsid w:val="00111E75"/>
    <w:rsid w:val="00117A4B"/>
    <w:rsid w:val="00120DEE"/>
    <w:rsid w:val="001422DD"/>
    <w:rsid w:val="001601B9"/>
    <w:rsid w:val="00172DBD"/>
    <w:rsid w:val="00192CC7"/>
    <w:rsid w:val="001A4E2B"/>
    <w:rsid w:val="001B4628"/>
    <w:rsid w:val="001B604F"/>
    <w:rsid w:val="00231209"/>
    <w:rsid w:val="0027533A"/>
    <w:rsid w:val="002A2321"/>
    <w:rsid w:val="002B0C6A"/>
    <w:rsid w:val="002B19A7"/>
    <w:rsid w:val="002C283A"/>
    <w:rsid w:val="002F220A"/>
    <w:rsid w:val="0031046D"/>
    <w:rsid w:val="00325E2D"/>
    <w:rsid w:val="003269E4"/>
    <w:rsid w:val="003277C1"/>
    <w:rsid w:val="00335482"/>
    <w:rsid w:val="00335557"/>
    <w:rsid w:val="00355B92"/>
    <w:rsid w:val="00356142"/>
    <w:rsid w:val="00356896"/>
    <w:rsid w:val="00383553"/>
    <w:rsid w:val="003B4B9F"/>
    <w:rsid w:val="003D2353"/>
    <w:rsid w:val="004071A8"/>
    <w:rsid w:val="00424C60"/>
    <w:rsid w:val="004323CE"/>
    <w:rsid w:val="00443CAE"/>
    <w:rsid w:val="00452873"/>
    <w:rsid w:val="00452B87"/>
    <w:rsid w:val="00452ED7"/>
    <w:rsid w:val="00482354"/>
    <w:rsid w:val="004A130A"/>
    <w:rsid w:val="004A2EF4"/>
    <w:rsid w:val="004D0E58"/>
    <w:rsid w:val="004D7E1D"/>
    <w:rsid w:val="004E10DB"/>
    <w:rsid w:val="004F085D"/>
    <w:rsid w:val="004F1682"/>
    <w:rsid w:val="00521FE6"/>
    <w:rsid w:val="0053378A"/>
    <w:rsid w:val="00560136"/>
    <w:rsid w:val="00570AF4"/>
    <w:rsid w:val="00580F6C"/>
    <w:rsid w:val="005A33F3"/>
    <w:rsid w:val="005B6588"/>
    <w:rsid w:val="00602FFC"/>
    <w:rsid w:val="00652E36"/>
    <w:rsid w:val="00655975"/>
    <w:rsid w:val="006818AD"/>
    <w:rsid w:val="006922F3"/>
    <w:rsid w:val="006959AB"/>
    <w:rsid w:val="006D2C5D"/>
    <w:rsid w:val="006E617A"/>
    <w:rsid w:val="00715ADC"/>
    <w:rsid w:val="00723901"/>
    <w:rsid w:val="0073333E"/>
    <w:rsid w:val="0074437D"/>
    <w:rsid w:val="00750949"/>
    <w:rsid w:val="007543C8"/>
    <w:rsid w:val="00761D2E"/>
    <w:rsid w:val="00783027"/>
    <w:rsid w:val="00787B85"/>
    <w:rsid w:val="0079456B"/>
    <w:rsid w:val="00795445"/>
    <w:rsid w:val="007F58B1"/>
    <w:rsid w:val="00812807"/>
    <w:rsid w:val="00812F8D"/>
    <w:rsid w:val="00840563"/>
    <w:rsid w:val="008666AA"/>
    <w:rsid w:val="0087089C"/>
    <w:rsid w:val="008A3367"/>
    <w:rsid w:val="008A4C51"/>
    <w:rsid w:val="008A6C02"/>
    <w:rsid w:val="008B1E6D"/>
    <w:rsid w:val="008D4AF4"/>
    <w:rsid w:val="008F3012"/>
    <w:rsid w:val="00900161"/>
    <w:rsid w:val="00906F5E"/>
    <w:rsid w:val="00921DD9"/>
    <w:rsid w:val="00946285"/>
    <w:rsid w:val="009524B9"/>
    <w:rsid w:val="009814E9"/>
    <w:rsid w:val="009A7D60"/>
    <w:rsid w:val="00A0372F"/>
    <w:rsid w:val="00A05F97"/>
    <w:rsid w:val="00A55939"/>
    <w:rsid w:val="00A621D6"/>
    <w:rsid w:val="00A67B08"/>
    <w:rsid w:val="00A7630C"/>
    <w:rsid w:val="00AB0364"/>
    <w:rsid w:val="00AB2141"/>
    <w:rsid w:val="00AC6347"/>
    <w:rsid w:val="00B05E23"/>
    <w:rsid w:val="00B05F46"/>
    <w:rsid w:val="00B2007D"/>
    <w:rsid w:val="00B417C0"/>
    <w:rsid w:val="00B524CD"/>
    <w:rsid w:val="00BA0192"/>
    <w:rsid w:val="00BF0543"/>
    <w:rsid w:val="00C03569"/>
    <w:rsid w:val="00C06AEC"/>
    <w:rsid w:val="00C270E3"/>
    <w:rsid w:val="00C3745B"/>
    <w:rsid w:val="00C5766C"/>
    <w:rsid w:val="00C633B9"/>
    <w:rsid w:val="00C63859"/>
    <w:rsid w:val="00C66502"/>
    <w:rsid w:val="00C732C1"/>
    <w:rsid w:val="00C82268"/>
    <w:rsid w:val="00C97737"/>
    <w:rsid w:val="00CA65B0"/>
    <w:rsid w:val="00CC21AD"/>
    <w:rsid w:val="00CE147A"/>
    <w:rsid w:val="00CE37D8"/>
    <w:rsid w:val="00DC7372"/>
    <w:rsid w:val="00DE645F"/>
    <w:rsid w:val="00DF5157"/>
    <w:rsid w:val="00E055D0"/>
    <w:rsid w:val="00E06072"/>
    <w:rsid w:val="00E0677B"/>
    <w:rsid w:val="00E4378E"/>
    <w:rsid w:val="00E44615"/>
    <w:rsid w:val="00E638BB"/>
    <w:rsid w:val="00E8093A"/>
    <w:rsid w:val="00E83526"/>
    <w:rsid w:val="00EA047E"/>
    <w:rsid w:val="00EA4559"/>
    <w:rsid w:val="00EE1079"/>
    <w:rsid w:val="00EF04C4"/>
    <w:rsid w:val="00F12230"/>
    <w:rsid w:val="00F17053"/>
    <w:rsid w:val="00F43BC1"/>
    <w:rsid w:val="00F87870"/>
    <w:rsid w:val="00FA0E86"/>
    <w:rsid w:val="00FD2B64"/>
    <w:rsid w:val="00FD6DDD"/>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table" w:styleId="Mriekatabuky">
    <w:name w:val="Table Grid"/>
    <w:basedOn w:val="Normlnatabuka"/>
    <w:uiPriority w:val="39"/>
    <w:rsid w:val="002B19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325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erejny-obstaravatel-obstaravatel/jednotny-europsky-dokument-je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F9CD-332A-4E24-8E2A-083D04FE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2031</Words>
  <Characters>11583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4</cp:revision>
  <dcterms:created xsi:type="dcterms:W3CDTF">2022-06-16T12:52:00Z</dcterms:created>
  <dcterms:modified xsi:type="dcterms:W3CDTF">2025-07-09T13:28:00Z</dcterms:modified>
</cp:coreProperties>
</file>