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proofErr w:type="spellStart"/>
      <w:r w:rsidR="008A3A2D">
        <w:rPr>
          <w:rFonts w:ascii="Arial Narrow" w:hAnsi="Arial Narrow" w:cs="Times New Roman"/>
        </w:rPr>
        <w:t>xxxxxxx</w:t>
      </w:r>
      <w:proofErr w:type="spellEnd"/>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w:t>
      </w:r>
      <w:r w:rsidRPr="00AF3241">
        <w:rPr>
          <w:rFonts w:ascii="Arial Narrow" w:hAnsi="Arial Narrow" w:cs="Times New Roman"/>
        </w:rPr>
        <w:lastRenderedPageBreak/>
        <w:t xml:space="preserve">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58490E35"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2EAE874D"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w:t>
      </w:r>
      <w:r w:rsidR="008A3A2D">
        <w:rPr>
          <w:rFonts w:ascii="Arial Narrow" w:hAnsi="Arial Narrow" w:cs="Times New Roman"/>
        </w:rPr>
        <w:t>xx</w:t>
      </w:r>
      <w:r w:rsidR="007A54FC">
        <w:rPr>
          <w:rFonts w:ascii="Arial Narrow" w:hAnsi="Arial Narrow" w:cs="Times New Roman"/>
        </w:rPr>
        <w:t>.</w:t>
      </w:r>
      <w:r w:rsidR="008A3A2D">
        <w:rPr>
          <w:rFonts w:ascii="Arial Narrow" w:hAnsi="Arial Narrow" w:cs="Times New Roman"/>
        </w:rPr>
        <w:t>xx</w:t>
      </w:r>
      <w:r w:rsidR="002848BB" w:rsidRPr="007A54FC">
        <w:rPr>
          <w:rFonts w:ascii="Arial Narrow" w:hAnsi="Arial Narrow" w:cs="Times New Roman"/>
        </w:rPr>
        <w:t>.202</w:t>
      </w:r>
      <w:r w:rsidR="008A3A2D">
        <w:rPr>
          <w:rFonts w:ascii="Arial Narrow" w:hAnsi="Arial Narrow" w:cs="Times New Roman"/>
        </w:rPr>
        <w:t>x</w:t>
      </w:r>
      <w:r w:rsidR="002848BB" w:rsidRPr="007A54FC">
        <w:rPr>
          <w:rFonts w:ascii="Arial Narrow" w:hAnsi="Arial Narrow" w:cs="Times New Roman"/>
        </w:rPr>
        <w:t xml:space="preserve"> do </w:t>
      </w:r>
      <w:r w:rsidR="008A3A2D">
        <w:rPr>
          <w:rFonts w:ascii="Arial Narrow" w:hAnsi="Arial Narrow" w:cs="Times New Roman"/>
        </w:rPr>
        <w:t>xx</w:t>
      </w:r>
      <w:r w:rsidR="007A54FC">
        <w:rPr>
          <w:rFonts w:ascii="Arial Narrow" w:hAnsi="Arial Narrow" w:cs="Times New Roman"/>
        </w:rPr>
        <w:t>.</w:t>
      </w:r>
      <w:r w:rsidR="008A3A2D">
        <w:rPr>
          <w:rFonts w:ascii="Arial Narrow" w:hAnsi="Arial Narrow" w:cs="Times New Roman"/>
        </w:rPr>
        <w:t>xx</w:t>
      </w:r>
      <w:r w:rsidR="00482E6D" w:rsidRPr="007A54FC">
        <w:rPr>
          <w:rFonts w:ascii="Arial Narrow" w:hAnsi="Arial Narrow" w:cs="Times New Roman"/>
        </w:rPr>
        <w:t>.202</w:t>
      </w:r>
      <w:r w:rsidR="008A3A2D">
        <w:rPr>
          <w:rFonts w:ascii="Arial Narrow" w:hAnsi="Arial Narrow" w:cs="Times New Roman"/>
        </w:rPr>
        <w:t>x</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w:t>
      </w:r>
      <w:r w:rsidR="00A42BE3" w:rsidRPr="00AF3241">
        <w:rPr>
          <w:rFonts w:ascii="Arial Narrow" w:hAnsi="Arial Narrow" w:cs="Times New Roman"/>
        </w:rPr>
        <w:lastRenderedPageBreak/>
        <w:t xml:space="preserve">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lastRenderedPageBreak/>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8873E69"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01E91575" w14:textId="23FDE810" w:rsidR="00ED5CC7" w:rsidRPr="0098391E" w:rsidRDefault="00ED5CC7" w:rsidP="00570382">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lastRenderedPageBreak/>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12C35BDA" w14:textId="42DC770D"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lastRenderedPageBreak/>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333A19F6"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8A3A2D">
        <w:rPr>
          <w:rFonts w:ascii="Arial Narrow" w:hAnsi="Arial Narrow"/>
          <w:u w:val="single"/>
        </w:rPr>
        <w:t>x</w:t>
      </w:r>
      <w:r>
        <w:rPr>
          <w:rFonts w:ascii="Arial Narrow" w:hAnsi="Arial Narrow"/>
          <w:u w:val="single"/>
        </w:rPr>
        <w:t>/202</w:t>
      </w:r>
      <w:r w:rsidR="008A3A2D">
        <w:rPr>
          <w:rFonts w:ascii="Arial Narrow" w:hAnsi="Arial Narrow"/>
          <w:u w:val="single"/>
        </w:rPr>
        <w:t>x</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w:t>
      </w:r>
      <w:proofErr w:type="spellStart"/>
      <w:r w:rsidR="00FC7F6E" w:rsidRPr="008754C7">
        <w:rPr>
          <w:rFonts w:ascii="Arial Narrow" w:hAnsi="Arial Narrow"/>
        </w:rPr>
        <w:t>zúčtovateľovi</w:t>
      </w:r>
      <w:proofErr w:type="spellEnd"/>
      <w:r w:rsidR="00FC7F6E" w:rsidRPr="008754C7">
        <w:rPr>
          <w:rFonts w:ascii="Arial Narrow" w:hAnsi="Arial Narrow"/>
        </w:rPr>
        <w:t xml:space="preserve">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64652859" w:rsidR="006420D6" w:rsidRDefault="006420D6" w:rsidP="00570382">
      <w:pPr>
        <w:spacing w:after="0" w:line="240" w:lineRule="auto"/>
        <w:rPr>
          <w:rFonts w:ascii="Arial Narrow" w:hAnsi="Arial Narrow" w:cs="Times New Roman"/>
          <w:b/>
          <w:bCs/>
        </w:rPr>
      </w:pPr>
    </w:p>
    <w:p w14:paraId="17C9C01E" w14:textId="239A1375" w:rsidR="0064631B" w:rsidRDefault="0064631B" w:rsidP="00570382">
      <w:pPr>
        <w:spacing w:after="0" w:line="240" w:lineRule="auto"/>
        <w:rPr>
          <w:rFonts w:ascii="Arial Narrow" w:hAnsi="Arial Narrow" w:cs="Times New Roman"/>
          <w:b/>
          <w:bCs/>
        </w:rPr>
      </w:pPr>
    </w:p>
    <w:p w14:paraId="68E942E6" w14:textId="69ACC692" w:rsidR="0064631B" w:rsidRDefault="0064631B" w:rsidP="00570382">
      <w:pPr>
        <w:spacing w:after="0" w:line="240" w:lineRule="auto"/>
        <w:rPr>
          <w:rFonts w:ascii="Arial Narrow" w:hAnsi="Arial Narrow" w:cs="Times New Roman"/>
          <w:b/>
          <w:bCs/>
        </w:rPr>
      </w:pPr>
    </w:p>
    <w:p w14:paraId="244AADC0" w14:textId="77777777" w:rsidR="0064631B" w:rsidRPr="00AF3241" w:rsidRDefault="0064631B" w:rsidP="00570382">
      <w:pPr>
        <w:spacing w:after="0" w:line="240" w:lineRule="auto"/>
        <w:rPr>
          <w:rFonts w:ascii="Arial Narrow" w:hAnsi="Arial Narrow" w:cs="Times New Roman"/>
          <w:b/>
          <w:bCs/>
        </w:rPr>
      </w:pPr>
    </w:p>
    <w:p w14:paraId="0A8D9226" w14:textId="642264AD" w:rsidR="00DE40A0" w:rsidRDefault="00DE40A0">
      <w:pPr>
        <w:rPr>
          <w:rFonts w:ascii="Arial Narrow" w:hAnsi="Arial Narrow" w:cs="Times New Roman"/>
          <w:b/>
          <w:bCs/>
        </w:rPr>
      </w:pPr>
    </w:p>
    <w:p w14:paraId="797C5F78" w14:textId="7D57399F" w:rsidR="005D2B3C" w:rsidRDefault="005D2B3C">
      <w:pPr>
        <w:rPr>
          <w:rFonts w:ascii="Arial Narrow" w:hAnsi="Arial Narrow" w:cs="Times New Roman"/>
          <w:b/>
          <w:bCs/>
        </w:rPr>
      </w:pPr>
    </w:p>
    <w:p w14:paraId="55B7D323" w14:textId="543D18D1"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shd w:val="clear" w:color="auto" w:fill="auto"/>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1" w:name="bookmark63"/>
      <w:r w:rsidRPr="007533CE">
        <w:rPr>
          <w:color w:val="000000"/>
          <w:lang w:eastAsia="sk-SK" w:bidi="sk-SK"/>
        </w:rPr>
        <w:t xml:space="preserve">Spôsob </w:t>
      </w:r>
      <w:r w:rsidRPr="007533CE">
        <w:rPr>
          <w:color w:val="000000"/>
          <w:lang w:eastAsia="cs-CZ" w:bidi="cs-CZ"/>
        </w:rPr>
        <w:t>a podmienky fakturácie</w:t>
      </w:r>
      <w:bookmarkEnd w:id="1"/>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5"/>
      <w:r w:rsidRPr="007533CE">
        <w:rPr>
          <w:color w:val="000000"/>
          <w:lang w:eastAsia="cs-CZ" w:bidi="cs-CZ"/>
        </w:rPr>
        <w:t>Ďalšie podmienky poskytovania predmetu zákazky</w:t>
      </w:r>
      <w:bookmarkEnd w:id="2"/>
    </w:p>
    <w:p w14:paraId="2EECE4B4" w14:textId="09BF4E13"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 xml:space="preserve">od </w:t>
      </w:r>
      <w:r w:rsidR="008A3A2D">
        <w:rPr>
          <w:b/>
          <w:bCs/>
          <w:color w:val="000000"/>
          <w:lang w:eastAsia="cs-CZ" w:bidi="cs-CZ"/>
        </w:rPr>
        <w:t>xx</w:t>
      </w:r>
      <w:r w:rsidRPr="007533CE">
        <w:rPr>
          <w:b/>
          <w:bCs/>
          <w:color w:val="000000"/>
          <w:lang w:eastAsia="cs-CZ" w:bidi="cs-CZ"/>
        </w:rPr>
        <w:t>.</w:t>
      </w:r>
      <w:r w:rsidR="008A3A2D">
        <w:rPr>
          <w:b/>
          <w:bCs/>
          <w:color w:val="000000"/>
          <w:lang w:eastAsia="cs-CZ" w:bidi="cs-CZ"/>
        </w:rPr>
        <w:t>xx</w:t>
      </w:r>
      <w:r w:rsidRPr="007533CE">
        <w:rPr>
          <w:b/>
          <w:bCs/>
          <w:color w:val="000000"/>
          <w:lang w:eastAsia="cs-CZ" w:bidi="cs-CZ"/>
        </w:rPr>
        <w:t>.202</w:t>
      </w:r>
      <w:r w:rsidR="008A3A2D">
        <w:rPr>
          <w:b/>
          <w:bCs/>
          <w:color w:val="000000"/>
          <w:lang w:eastAsia="cs-CZ" w:bidi="cs-CZ"/>
        </w:rPr>
        <w:t>x</w:t>
      </w:r>
      <w:r w:rsidRPr="007533CE">
        <w:rPr>
          <w:b/>
          <w:bCs/>
          <w:color w:val="000000"/>
          <w:lang w:eastAsia="cs-CZ" w:bidi="cs-CZ"/>
        </w:rPr>
        <w:t xml:space="preserve"> 00:00:00 hodiny do </w:t>
      </w:r>
      <w:r w:rsidR="008A3A2D">
        <w:rPr>
          <w:b/>
          <w:bCs/>
          <w:color w:val="000000"/>
          <w:lang w:eastAsia="cs-CZ" w:bidi="cs-CZ"/>
        </w:rPr>
        <w:t>xx</w:t>
      </w:r>
      <w:r w:rsidRPr="007533CE">
        <w:rPr>
          <w:b/>
          <w:bCs/>
          <w:color w:val="000000"/>
          <w:lang w:eastAsia="cs-CZ" w:bidi="cs-CZ"/>
        </w:rPr>
        <w:t>.</w:t>
      </w:r>
      <w:r w:rsidR="008A3A2D">
        <w:rPr>
          <w:b/>
          <w:bCs/>
          <w:color w:val="000000"/>
          <w:lang w:eastAsia="cs-CZ" w:bidi="cs-CZ"/>
        </w:rPr>
        <w:t>xx</w:t>
      </w:r>
      <w:r w:rsidRPr="007533CE">
        <w:rPr>
          <w:b/>
          <w:bCs/>
          <w:color w:val="000000"/>
          <w:lang w:eastAsia="cs-CZ" w:bidi="cs-CZ"/>
        </w:rPr>
        <w:t>.202</w:t>
      </w:r>
      <w:r w:rsidR="008A3A2D">
        <w:rPr>
          <w:b/>
          <w:bCs/>
          <w:color w:val="000000"/>
          <w:lang w:eastAsia="cs-CZ" w:bidi="cs-CZ"/>
        </w:rPr>
        <w:t>x</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lastRenderedPageBreak/>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7A78BF19" w14:textId="3540CBBF" w:rsidR="008E5B10" w:rsidRPr="002C1315" w:rsidRDefault="008E5B10" w:rsidP="00C3375D">
      <w:pPr>
        <w:pStyle w:val="Zkladntext1"/>
        <w:tabs>
          <w:tab w:val="left" w:pos="567"/>
        </w:tabs>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46C23AEA" w14:textId="3859468A" w:rsidR="00505C37" w:rsidRDefault="00505C37" w:rsidP="008E5B10">
      <w:pPr>
        <w:pStyle w:val="Zkladntext1"/>
        <w:tabs>
          <w:tab w:val="left" w:pos="567"/>
          <w:tab w:val="left" w:pos="1266"/>
        </w:tabs>
        <w:spacing w:after="300" w:line="240" w:lineRule="auto"/>
        <w:ind w:left="567"/>
        <w:jc w:val="both"/>
      </w:pPr>
    </w:p>
    <w:p w14:paraId="53F3DCA5" w14:textId="48A8E1D3" w:rsidR="00505C37" w:rsidRDefault="00505C37" w:rsidP="008E5B10">
      <w:pPr>
        <w:pStyle w:val="Zkladntext1"/>
        <w:tabs>
          <w:tab w:val="left" w:pos="567"/>
          <w:tab w:val="left" w:pos="1266"/>
        </w:tabs>
        <w:spacing w:after="300" w:line="240" w:lineRule="auto"/>
        <w:ind w:left="567"/>
        <w:jc w:val="both"/>
      </w:pPr>
    </w:p>
    <w:p w14:paraId="11EC265C" w14:textId="5BB7AAE8" w:rsidR="00505C37" w:rsidRDefault="00505C37" w:rsidP="008E5B10">
      <w:pPr>
        <w:pStyle w:val="Zkladntext1"/>
        <w:tabs>
          <w:tab w:val="left" w:pos="567"/>
          <w:tab w:val="left" w:pos="1266"/>
        </w:tabs>
        <w:spacing w:after="300" w:line="240" w:lineRule="auto"/>
        <w:ind w:left="567"/>
        <w:jc w:val="both"/>
      </w:pPr>
    </w:p>
    <w:p w14:paraId="30246E0F" w14:textId="7205E5B8" w:rsidR="00505C37" w:rsidRDefault="00505C37" w:rsidP="008E5B10">
      <w:pPr>
        <w:pStyle w:val="Zkladntext1"/>
        <w:tabs>
          <w:tab w:val="left" w:pos="567"/>
          <w:tab w:val="left" w:pos="1266"/>
        </w:tabs>
        <w:spacing w:after="300" w:line="240" w:lineRule="auto"/>
        <w:ind w:left="567"/>
        <w:jc w:val="both"/>
      </w:pPr>
    </w:p>
    <w:p w14:paraId="674AB7AE" w14:textId="3AE67FF7" w:rsidR="00505C37" w:rsidRDefault="00505C37" w:rsidP="008E5B10">
      <w:pPr>
        <w:pStyle w:val="Zkladntext1"/>
        <w:tabs>
          <w:tab w:val="left" w:pos="567"/>
          <w:tab w:val="left" w:pos="1266"/>
        </w:tabs>
        <w:spacing w:after="300" w:line="240" w:lineRule="auto"/>
        <w:ind w:left="567"/>
        <w:jc w:val="both"/>
      </w:pPr>
    </w:p>
    <w:p w14:paraId="37C809F0" w14:textId="77777777" w:rsidR="00505C37" w:rsidRDefault="00505C37" w:rsidP="008E5B10">
      <w:pPr>
        <w:pStyle w:val="Zkladntext1"/>
        <w:tabs>
          <w:tab w:val="left" w:pos="567"/>
          <w:tab w:val="left" w:pos="1266"/>
        </w:tabs>
        <w:spacing w:after="300" w:line="240" w:lineRule="auto"/>
        <w:ind w:left="567"/>
        <w:jc w:val="both"/>
      </w:pPr>
      <w:bookmarkStart w:id="3" w:name="_GoBack"/>
      <w:bookmarkEnd w:id="3"/>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33DAEE79" w14:textId="506E0002"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14FE" w14:textId="77777777" w:rsidR="008C3D2B" w:rsidRDefault="008C3D2B" w:rsidP="002B256F">
      <w:pPr>
        <w:spacing w:after="0" w:line="240" w:lineRule="auto"/>
      </w:pPr>
      <w:r>
        <w:separator/>
      </w:r>
    </w:p>
  </w:endnote>
  <w:endnote w:type="continuationSeparator" w:id="0">
    <w:p w14:paraId="5B65BEEE" w14:textId="77777777" w:rsidR="008C3D2B" w:rsidRDefault="008C3D2B"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ADF172E"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505C37">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BDC8" w14:textId="77777777" w:rsidR="008C3D2B" w:rsidRDefault="008C3D2B" w:rsidP="002B256F">
      <w:pPr>
        <w:spacing w:after="0" w:line="240" w:lineRule="auto"/>
      </w:pPr>
      <w:r>
        <w:separator/>
      </w:r>
    </w:p>
  </w:footnote>
  <w:footnote w:type="continuationSeparator" w:id="0">
    <w:p w14:paraId="59FEA3C3" w14:textId="77777777" w:rsidR="008C3D2B" w:rsidRDefault="008C3D2B"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0E36F7C6" w:rsidR="002F42BA" w:rsidRPr="00775E12" w:rsidRDefault="002F42BA" w:rsidP="00775E12">
    <w:pPr>
      <w:pStyle w:val="Hlavika"/>
      <w:jc w:val="right"/>
      <w:rPr>
        <w:rFonts w:ascii="Arial Narrow" w:hAnsi="Arial Narrow"/>
      </w:rPr>
    </w:pPr>
    <w:r>
      <w:rPr>
        <w:rFonts w:ascii="Arial Narrow" w:hAnsi="Arial Narrow"/>
      </w:rPr>
      <w:t>Príloha č. 6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51726"/>
    <w:rsid w:val="003548FC"/>
    <w:rsid w:val="0035560E"/>
    <w:rsid w:val="003643F5"/>
    <w:rsid w:val="003727DA"/>
    <w:rsid w:val="00373090"/>
    <w:rsid w:val="003739BA"/>
    <w:rsid w:val="003774B4"/>
    <w:rsid w:val="00383EB2"/>
    <w:rsid w:val="00384D47"/>
    <w:rsid w:val="00384E1E"/>
    <w:rsid w:val="00397DD1"/>
    <w:rsid w:val="003A6D63"/>
    <w:rsid w:val="003B1AD5"/>
    <w:rsid w:val="003B319F"/>
    <w:rsid w:val="003B3AD4"/>
    <w:rsid w:val="003E6652"/>
    <w:rsid w:val="004003D0"/>
    <w:rsid w:val="0041283F"/>
    <w:rsid w:val="00416894"/>
    <w:rsid w:val="00422B36"/>
    <w:rsid w:val="00432D8D"/>
    <w:rsid w:val="004334A2"/>
    <w:rsid w:val="0043541D"/>
    <w:rsid w:val="00446FF9"/>
    <w:rsid w:val="004568B2"/>
    <w:rsid w:val="00460A75"/>
    <w:rsid w:val="0047007F"/>
    <w:rsid w:val="004823E4"/>
    <w:rsid w:val="00482E6D"/>
    <w:rsid w:val="00483AFA"/>
    <w:rsid w:val="00483B8C"/>
    <w:rsid w:val="00491BF1"/>
    <w:rsid w:val="004A0A79"/>
    <w:rsid w:val="004A1763"/>
    <w:rsid w:val="004A4217"/>
    <w:rsid w:val="004B4123"/>
    <w:rsid w:val="004B7CAE"/>
    <w:rsid w:val="004C13D8"/>
    <w:rsid w:val="004C14ED"/>
    <w:rsid w:val="004D1E1E"/>
    <w:rsid w:val="004E4382"/>
    <w:rsid w:val="004F0481"/>
    <w:rsid w:val="00505C37"/>
    <w:rsid w:val="00516736"/>
    <w:rsid w:val="005226DD"/>
    <w:rsid w:val="00522E04"/>
    <w:rsid w:val="005313BE"/>
    <w:rsid w:val="00533200"/>
    <w:rsid w:val="00550B0C"/>
    <w:rsid w:val="00554F1D"/>
    <w:rsid w:val="0056685A"/>
    <w:rsid w:val="00570382"/>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35C7D"/>
    <w:rsid w:val="006420D6"/>
    <w:rsid w:val="0064631B"/>
    <w:rsid w:val="00683053"/>
    <w:rsid w:val="00683B20"/>
    <w:rsid w:val="00684190"/>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E5B10"/>
    <w:rsid w:val="008F7C9D"/>
    <w:rsid w:val="00903EA4"/>
    <w:rsid w:val="00905CF2"/>
    <w:rsid w:val="00906696"/>
    <w:rsid w:val="00912437"/>
    <w:rsid w:val="00922A5B"/>
    <w:rsid w:val="0092527D"/>
    <w:rsid w:val="00925D82"/>
    <w:rsid w:val="009271DD"/>
    <w:rsid w:val="00927356"/>
    <w:rsid w:val="00931E2A"/>
    <w:rsid w:val="00945545"/>
    <w:rsid w:val="009576E2"/>
    <w:rsid w:val="00964575"/>
    <w:rsid w:val="00970882"/>
    <w:rsid w:val="009726A0"/>
    <w:rsid w:val="0098391E"/>
    <w:rsid w:val="00984E6D"/>
    <w:rsid w:val="0099422B"/>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7102"/>
    <w:rsid w:val="00B33317"/>
    <w:rsid w:val="00B35E30"/>
    <w:rsid w:val="00B378F9"/>
    <w:rsid w:val="00B470FC"/>
    <w:rsid w:val="00B54808"/>
    <w:rsid w:val="00B72E39"/>
    <w:rsid w:val="00B83CB6"/>
    <w:rsid w:val="00B92EB2"/>
    <w:rsid w:val="00BA6926"/>
    <w:rsid w:val="00BC6FAC"/>
    <w:rsid w:val="00BC7EF3"/>
    <w:rsid w:val="00BD47A9"/>
    <w:rsid w:val="00C02893"/>
    <w:rsid w:val="00C02D27"/>
    <w:rsid w:val="00C07EA0"/>
    <w:rsid w:val="00C15694"/>
    <w:rsid w:val="00C15BC7"/>
    <w:rsid w:val="00C20336"/>
    <w:rsid w:val="00C26222"/>
    <w:rsid w:val="00C3375D"/>
    <w:rsid w:val="00C437D6"/>
    <w:rsid w:val="00C553DC"/>
    <w:rsid w:val="00C61907"/>
    <w:rsid w:val="00C776A2"/>
    <w:rsid w:val="00C84D1F"/>
    <w:rsid w:val="00C85783"/>
    <w:rsid w:val="00C87C24"/>
    <w:rsid w:val="00CB73DA"/>
    <w:rsid w:val="00CC07BE"/>
    <w:rsid w:val="00CC21D2"/>
    <w:rsid w:val="00CD04F8"/>
    <w:rsid w:val="00CD464D"/>
    <w:rsid w:val="00CE2D8D"/>
    <w:rsid w:val="00CE4CE2"/>
    <w:rsid w:val="00CE70F2"/>
    <w:rsid w:val="00CF0A99"/>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951B0"/>
    <w:rsid w:val="00DA2A1D"/>
    <w:rsid w:val="00DA5D0A"/>
    <w:rsid w:val="00DB276A"/>
    <w:rsid w:val="00DC0C55"/>
    <w:rsid w:val="00DD2B92"/>
    <w:rsid w:val="00DD3317"/>
    <w:rsid w:val="00DE1B57"/>
    <w:rsid w:val="00DE2048"/>
    <w:rsid w:val="00DE40A0"/>
    <w:rsid w:val="00E10711"/>
    <w:rsid w:val="00E21F64"/>
    <w:rsid w:val="00E40A10"/>
    <w:rsid w:val="00E41652"/>
    <w:rsid w:val="00E56D9B"/>
    <w:rsid w:val="00E64E4D"/>
    <w:rsid w:val="00E71EE6"/>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7F6E"/>
    <w:rsid w:val="00FD3C91"/>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40AC6FA-775E-4946-AB62-39A832C7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6332</Words>
  <Characters>36097</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4</cp:revision>
  <cp:lastPrinted>2025-07-16T14:27:00Z</cp:lastPrinted>
  <dcterms:created xsi:type="dcterms:W3CDTF">2025-07-16T11:06:00Z</dcterms:created>
  <dcterms:modified xsi:type="dcterms:W3CDTF">2025-07-16T14:31:00Z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