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4A0" w14:textId="0A252E59" w:rsidR="000E2638" w:rsidRPr="00BC4C25" w:rsidRDefault="00FD6CC1" w:rsidP="0052788F">
      <w:pPr>
        <w:pStyle w:val="Body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BC4C25" w:rsidRPr="00BC4C25">
        <w:rPr>
          <w:rFonts w:ascii="Cambria" w:hAnsi="Cambria"/>
          <w:sz w:val="28"/>
          <w:szCs w:val="28"/>
        </w:rPr>
        <w:t>C-NBS1-000-111-594</w:t>
      </w:r>
    </w:p>
    <w:p w14:paraId="02148F73" w14:textId="19F28124"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BC4C25">
        <w:rPr>
          <w:rFonts w:ascii="Cambria" w:hAnsi="Cambria"/>
          <w:sz w:val="28"/>
          <w:szCs w:val="28"/>
        </w:rPr>
        <w:t>IS na Správu privilegovaných účtov</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B82F437"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platí pre za</w:t>
      </w:r>
      <w:r w:rsidR="009A609B">
        <w:rPr>
          <w:rFonts w:ascii="Cambria" w:hAnsi="Cambria" w:cs="Arial"/>
          <w:color w:val="00B0F0"/>
          <w:sz w:val="22"/>
          <w:szCs w:val="22"/>
        </w:rPr>
        <w:t>hra</w:t>
      </w:r>
      <w:r w:rsidRPr="00230482">
        <w:rPr>
          <w:rFonts w:ascii="Cambria" w:hAnsi="Cambria" w:cs="Arial"/>
          <w:color w:val="00B0F0"/>
          <w:sz w:val="22"/>
          <w:szCs w:val="22"/>
        </w:rPr>
        <w:t xml:space="preserve">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2FB8DD25"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00B56EAC" w:rsidRPr="00230482">
        <w:rPr>
          <w:rFonts w:ascii="Cambria" w:hAnsi="Cambria"/>
          <w:spacing w:val="-4"/>
          <w:sz w:val="22"/>
          <w:szCs w:val="22"/>
        </w:rPr>
        <w:t>&lt;</w:t>
      </w:r>
      <w:r w:rsidR="00B56EAC" w:rsidRPr="00230482">
        <w:rPr>
          <w:rFonts w:ascii="Cambria" w:hAnsi="Cambria"/>
          <w:color w:val="00B0F0"/>
          <w:spacing w:val="-4"/>
          <w:sz w:val="22"/>
          <w:szCs w:val="22"/>
        </w:rPr>
        <w:t>vyplní uchádzač</w:t>
      </w:r>
      <w:r w:rsidR="00B56EAC" w:rsidRPr="00230482">
        <w:rPr>
          <w:rFonts w:ascii="Cambria" w:hAnsi="Cambria"/>
          <w:spacing w:val="-4"/>
          <w:sz w:val="22"/>
          <w:szCs w:val="22"/>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737AC4DE"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51315">
        <w:rPr>
          <w:rFonts w:ascii="Cambria" w:hAnsi="Cambria" w:cs="Arial"/>
          <w:b w:val="0"/>
          <w:color w:val="000000"/>
          <w:sz w:val="22"/>
          <w:szCs w:val="22"/>
        </w:rPr>
        <w:t xml:space="preserve">s názvom </w:t>
      </w:r>
      <w:r w:rsidR="003B6A3C">
        <w:rPr>
          <w:rFonts w:ascii="Cambria" w:hAnsi="Cambria" w:cs="Arial"/>
          <w:b w:val="0"/>
          <w:color w:val="000000"/>
          <w:sz w:val="22"/>
          <w:szCs w:val="22"/>
        </w:rPr>
        <w:t>„</w:t>
      </w:r>
      <w:r w:rsidR="00BC4C25" w:rsidRPr="00BC4C25">
        <w:rPr>
          <w:rFonts w:ascii="Cambria" w:hAnsi="Cambria" w:cs="Arial"/>
          <w:b w:val="0"/>
          <w:i/>
          <w:iCs/>
          <w:color w:val="000000"/>
          <w:sz w:val="22"/>
          <w:szCs w:val="22"/>
        </w:rPr>
        <w:t>Správa privilegovaných účtov</w:t>
      </w:r>
      <w:r w:rsidR="003B6A3C" w:rsidRPr="00BC4C25">
        <w:rPr>
          <w:rFonts w:ascii="Cambria" w:hAnsi="Cambria" w:cs="Arial"/>
          <w:b w:val="0"/>
          <w:color w:val="000000"/>
          <w:sz w:val="22"/>
          <w:szCs w:val="22"/>
        </w:rPr>
        <w:t>“.</w:t>
      </w:r>
    </w:p>
    <w:p w14:paraId="5B5D9264" w14:textId="5C67B383" w:rsidR="005A2EC2" w:rsidRPr="00230482" w:rsidRDefault="005A2EC2" w:rsidP="002950AC">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406995ED" w:rsidR="002D2B16" w:rsidRPr="00FA0CA2" w:rsidRDefault="006C0D60" w:rsidP="002950AC">
      <w:pPr>
        <w:pStyle w:val="Heading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 informačný systém</w:t>
      </w:r>
      <w:r w:rsidR="001B20CF" w:rsidRPr="00FA0CA2">
        <w:rPr>
          <w:rFonts w:ascii="Cambria" w:hAnsi="Cambria" w:cs="Arial"/>
          <w:b w:val="0"/>
          <w:color w:val="000000"/>
          <w:sz w:val="22"/>
          <w:szCs w:val="22"/>
        </w:rPr>
        <w:t xml:space="preserve"> </w:t>
      </w:r>
      <w:r w:rsidR="00F87E5D">
        <w:rPr>
          <w:rFonts w:ascii="Cambria" w:hAnsi="Cambria" w:cs="Arial"/>
          <w:b w:val="0"/>
          <w:color w:val="000000"/>
          <w:sz w:val="22"/>
          <w:szCs w:val="22"/>
        </w:rPr>
        <w:t>na správu privilegovaných účtov</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127ACD" w:rsidRPr="00E81011">
        <w:rPr>
          <w:rFonts w:ascii="Cambria" w:hAnsi="Cambria" w:cs="Arial"/>
          <w:bCs/>
          <w:color w:val="000000"/>
          <w:sz w:val="22"/>
          <w:szCs w:val="22"/>
        </w:rPr>
        <w:t>systém</w:t>
      </w:r>
      <w:r w:rsidR="00E20CD5" w:rsidRPr="00E81011">
        <w:rPr>
          <w:rFonts w:ascii="Cambria" w:hAnsi="Cambria" w:cs="Arial"/>
          <w:bCs/>
          <w:color w:val="000000"/>
          <w:sz w:val="22"/>
          <w:szCs w:val="22"/>
        </w:rPr>
        <w:t xml:space="preserve"> </w:t>
      </w:r>
      <w:r w:rsidR="005E5490">
        <w:rPr>
          <w:rFonts w:ascii="Cambria" w:hAnsi="Cambria" w:cs="Arial"/>
          <w:bCs/>
          <w:color w:val="000000"/>
          <w:sz w:val="22"/>
          <w:szCs w:val="22"/>
        </w:rPr>
        <w:t>IS SPÚ</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o dielo č. </w:t>
      </w:r>
      <w:r w:rsidR="00BC4C25" w:rsidRPr="00BC4C25">
        <w:rPr>
          <w:rFonts w:ascii="Cambria" w:hAnsi="Cambria" w:cs="Arial"/>
          <w:b w:val="0"/>
          <w:color w:val="000000"/>
          <w:sz w:val="22"/>
          <w:szCs w:val="22"/>
        </w:rPr>
        <w:t>C-NBS1-000-111-591</w:t>
      </w:r>
      <w:r w:rsidR="00BC4C25" w:rsidRPr="00FA0CA2">
        <w:rPr>
          <w:rFonts w:ascii="Cambria" w:hAnsi="Cambria" w:cs="Arial"/>
          <w:b w:val="0"/>
          <w:color w:val="000000"/>
          <w:sz w:val="22"/>
          <w:szCs w:val="22"/>
        </w:rPr>
        <w:t xml:space="preserve"> </w:t>
      </w:r>
      <w:r w:rsidR="00C91933" w:rsidRPr="00FA0CA2">
        <w:rPr>
          <w:rFonts w:ascii="Cambria" w:hAnsi="Cambria" w:cs="Arial"/>
          <w:b w:val="0"/>
          <w:color w:val="000000"/>
          <w:sz w:val="22"/>
          <w:szCs w:val="22"/>
        </w:rPr>
        <w:t>(ďalej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5623680E" w:rsidR="00237F33" w:rsidRDefault="00A02B45" w:rsidP="002950AC">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45784F">
        <w:rPr>
          <w:rFonts w:ascii="Cambria" w:hAnsi="Cambria" w:cs="Arial"/>
          <w:b w:val="0"/>
          <w:color w:val="000000"/>
          <w:sz w:val="22"/>
          <w:szCs w:val="22"/>
        </w:rPr>
        <w:t xml:space="preserve">pre </w:t>
      </w:r>
      <w:r w:rsidR="0055100C">
        <w:rPr>
          <w:rFonts w:ascii="Cambria" w:hAnsi="Cambria" w:cs="Arial"/>
          <w:b w:val="0"/>
          <w:color w:val="000000"/>
          <w:sz w:val="22"/>
          <w:szCs w:val="22"/>
        </w:rPr>
        <w:t>správu privilegovaných účtov</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A77195" w:rsidRDefault="00E94723" w:rsidP="000D0CD4">
      <w:pPr>
        <w:pStyle w:val="Heading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Heading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572BD236" w:rsidR="00637D29" w:rsidRPr="00A77195" w:rsidRDefault="00147A4F" w:rsidP="00DE142C">
      <w:pPr>
        <w:pStyle w:val="BodyTextIndent"/>
        <w:numPr>
          <w:ilvl w:val="1"/>
          <w:numId w:val="27"/>
        </w:numPr>
        <w:ind w:left="1170"/>
        <w:jc w:val="both"/>
        <w:rPr>
          <w:rFonts w:ascii="Cambria" w:hAnsi="Cambria" w:cs="Arial"/>
          <w:sz w:val="22"/>
          <w:szCs w:val="22"/>
        </w:rPr>
      </w:pPr>
      <w:r>
        <w:rPr>
          <w:rFonts w:ascii="Cambria" w:hAnsi="Cambria" w:cs="Arial"/>
          <w:sz w:val="22"/>
          <w:szCs w:val="22"/>
        </w:rPr>
        <w:t>podpora</w:t>
      </w:r>
      <w:r w:rsidR="00637D29" w:rsidRPr="00A77195">
        <w:rPr>
          <w:rFonts w:ascii="Cambria" w:hAnsi="Cambria" w:cs="Arial"/>
          <w:sz w:val="22"/>
          <w:szCs w:val="22"/>
        </w:rPr>
        <w:t xml:space="preserve"> a </w:t>
      </w:r>
      <w:r>
        <w:rPr>
          <w:rFonts w:ascii="Cambria" w:hAnsi="Cambria" w:cs="Arial"/>
          <w:sz w:val="22"/>
          <w:szCs w:val="22"/>
        </w:rPr>
        <w:t>údržba</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DE142C">
      <w:pPr>
        <w:pStyle w:val="BodyTextIndent"/>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BodyTextIndent"/>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BodyTextIndent"/>
        <w:ind w:left="360" w:firstLine="0"/>
        <w:jc w:val="both"/>
        <w:rPr>
          <w:rFonts w:ascii="Cambria" w:hAnsi="Cambria" w:cs="Arial"/>
          <w:sz w:val="22"/>
          <w:szCs w:val="22"/>
        </w:rPr>
      </w:pPr>
    </w:p>
    <w:p w14:paraId="79FF3D55" w14:textId="74384D75" w:rsidR="00B40D8C" w:rsidRPr="00A77195" w:rsidRDefault="007E3DFF" w:rsidP="008E58CE">
      <w:pPr>
        <w:pStyle w:val="BodyTextIndent"/>
        <w:numPr>
          <w:ilvl w:val="0"/>
          <w:numId w:val="32"/>
        </w:numPr>
        <w:jc w:val="both"/>
        <w:rPr>
          <w:rFonts w:ascii="Cambria" w:hAnsi="Cambria" w:cs="Arial"/>
          <w:sz w:val="22"/>
          <w:szCs w:val="22"/>
        </w:rPr>
      </w:pPr>
      <w:r w:rsidRPr="00A77195">
        <w:rPr>
          <w:rFonts w:ascii="Cambria" w:hAnsi="Cambria" w:cs="Arial"/>
          <w:sz w:val="22"/>
          <w:szCs w:val="22"/>
        </w:rPr>
        <w:t xml:space="preserve">Predmetom tejto Servisnej zmluvy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a poskytovať</w:t>
      </w:r>
      <w:r w:rsidR="008B5424" w:rsidRPr="00A77195">
        <w:rPr>
          <w:rFonts w:ascii="Cambria" w:hAnsi="Cambria" w:cs="Arial"/>
          <w:sz w:val="22"/>
          <w:szCs w:val="22"/>
        </w:rPr>
        <w:t xml:space="preserve"> </w:t>
      </w:r>
      <w:r w:rsidR="00DE5C72" w:rsidRPr="00A77195">
        <w:rPr>
          <w:rFonts w:ascii="Cambria" w:hAnsi="Cambria" w:cs="Arial"/>
          <w:sz w:val="22"/>
          <w:szCs w:val="22"/>
        </w:rPr>
        <w:t>služby</w:t>
      </w:r>
      <w:r w:rsidR="005E4DE4" w:rsidRPr="00A77195">
        <w:rPr>
          <w:rFonts w:ascii="Cambria" w:hAnsi="Cambria" w:cs="Arial"/>
          <w:sz w:val="22"/>
          <w:szCs w:val="22"/>
        </w:rPr>
        <w:t>:</w:t>
      </w:r>
    </w:p>
    <w:p w14:paraId="48C6CA69" w14:textId="6BAD7F73" w:rsidR="00B40D8C" w:rsidRPr="00A77195" w:rsidRDefault="00B40D8C"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Podpora</w:t>
      </w:r>
    </w:p>
    <w:p w14:paraId="21A98968" w14:textId="1A54F850" w:rsidR="00B126B5"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Údržba</w:t>
      </w:r>
    </w:p>
    <w:p w14:paraId="43762768" w14:textId="6C9E7556" w:rsidR="00EA1864"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EA1864" w:rsidRPr="00A77195">
        <w:rPr>
          <w:rFonts w:ascii="Cambria" w:hAnsi="Cambria" w:cs="Arial"/>
          <w:sz w:val="22"/>
          <w:szCs w:val="22"/>
        </w:rPr>
        <w:t>Konzultácie na pracovisku objednávateľa</w:t>
      </w:r>
    </w:p>
    <w:p w14:paraId="0AF5B3D6" w14:textId="16086379" w:rsidR="00903C4A"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903C4A" w:rsidRPr="00A77195">
        <w:rPr>
          <w:rFonts w:ascii="Cambria" w:hAnsi="Cambria" w:cs="Arial"/>
          <w:sz w:val="22"/>
          <w:szCs w:val="22"/>
        </w:rPr>
        <w:t>Školenia</w:t>
      </w:r>
    </w:p>
    <w:p w14:paraId="71BC911E" w14:textId="5ADCDCEA" w:rsidR="0096652C"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Implementácia</w:t>
      </w:r>
    </w:p>
    <w:p w14:paraId="644286F4" w14:textId="320DEBB3" w:rsidR="00E501B8" w:rsidRDefault="004919E5" w:rsidP="00DE142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E501B8">
        <w:rPr>
          <w:rFonts w:ascii="Cambria" w:hAnsi="Cambria" w:cs="Arial"/>
          <w:sz w:val="22"/>
          <w:szCs w:val="22"/>
        </w:rPr>
        <w:t>Služba Pohotovosť</w:t>
      </w:r>
    </w:p>
    <w:p w14:paraId="17726646" w14:textId="2C4C3A9C" w:rsidR="00A85091" w:rsidRPr="00A77195" w:rsidRDefault="008A0270" w:rsidP="00DE142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A85091" w:rsidRPr="00A77195">
        <w:rPr>
          <w:rFonts w:ascii="Cambria" w:hAnsi="Cambria" w:cs="Arial"/>
          <w:sz w:val="22"/>
          <w:szCs w:val="22"/>
        </w:rPr>
        <w:t>Doplnkové služby (</w:t>
      </w:r>
      <w:proofErr w:type="spellStart"/>
      <w:r w:rsidR="00A85091" w:rsidRPr="00A77195">
        <w:rPr>
          <w:rFonts w:ascii="Cambria" w:hAnsi="Cambria" w:cs="Arial"/>
          <w:sz w:val="22"/>
          <w:szCs w:val="22"/>
        </w:rPr>
        <w:t>Exit</w:t>
      </w:r>
      <w:proofErr w:type="spellEnd"/>
      <w:r w:rsidR="00A85091" w:rsidRPr="00A77195">
        <w:rPr>
          <w:rFonts w:ascii="Cambria" w:hAnsi="Cambria" w:cs="Arial"/>
          <w:sz w:val="22"/>
          <w:szCs w:val="22"/>
        </w:rPr>
        <w:t xml:space="preserve"> služba a Konzultácie pre nového dodávateľa)</w:t>
      </w:r>
    </w:p>
    <w:p w14:paraId="162ECC77" w14:textId="12A4489E" w:rsidR="002B574B" w:rsidRPr="00A77195" w:rsidRDefault="002A5F1A" w:rsidP="00DE142C">
      <w:pPr>
        <w:pStyle w:val="BodyTextIndent"/>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Heading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ListParagraph"/>
        <w:spacing w:after="0"/>
        <w:ind w:left="360"/>
        <w:contextualSpacing w:val="0"/>
        <w:jc w:val="both"/>
        <w:rPr>
          <w:rFonts w:ascii="Cambria" w:hAnsi="Cambria" w:cs="Arial"/>
          <w:vanish/>
        </w:rPr>
      </w:pPr>
    </w:p>
    <w:p w14:paraId="37E80DAE" w14:textId="615FE148" w:rsidR="004D04C3" w:rsidRPr="00A77195" w:rsidRDefault="004D04C3"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lastRenderedPageBreak/>
        <w:t>Termíny plnenia:</w:t>
      </w:r>
    </w:p>
    <w:p w14:paraId="6466BADD" w14:textId="621BB225" w:rsidR="004D04C3" w:rsidRPr="00A77195" w:rsidRDefault="00E52AD6" w:rsidP="00C87B55">
      <w:pPr>
        <w:pStyle w:val="BodyTextIndent"/>
        <w:ind w:left="360" w:firstLine="0"/>
        <w:jc w:val="both"/>
        <w:rPr>
          <w:rFonts w:ascii="Cambria" w:hAnsi="Cambria" w:cs="Arial"/>
          <w:sz w:val="22"/>
          <w:szCs w:val="22"/>
        </w:rPr>
      </w:pPr>
      <w:r w:rsidRPr="00A77195">
        <w:rPr>
          <w:rFonts w:ascii="Cambria" w:hAnsi="Cambria" w:cs="Arial"/>
          <w:sz w:val="22"/>
          <w:szCs w:val="22"/>
        </w:rPr>
        <w:tab/>
      </w:r>
      <w:r w:rsidR="006A527E" w:rsidRPr="00A77195">
        <w:rPr>
          <w:rFonts w:ascii="Cambria" w:hAnsi="Cambria" w:cs="Arial"/>
          <w:sz w:val="22"/>
          <w:szCs w:val="22"/>
        </w:rPr>
        <w:t xml:space="preserve">a) </w:t>
      </w:r>
      <w:r w:rsidR="00DB5C2A" w:rsidRPr="00A77195">
        <w:rPr>
          <w:rFonts w:ascii="Cambria" w:hAnsi="Cambria" w:cs="Arial"/>
          <w:sz w:val="22"/>
          <w:szCs w:val="22"/>
        </w:rPr>
        <w:t>služby Podpora a Údržba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77195">
        <w:rPr>
          <w:rFonts w:ascii="Cambria" w:hAnsi="Cambria" w:cs="Arial"/>
          <w:sz w:val="22"/>
          <w:szCs w:val="22"/>
        </w:rPr>
        <w:t>1.</w:t>
      </w:r>
      <w:r w:rsidR="00F83D68" w:rsidRPr="00A77195">
        <w:rPr>
          <w:rFonts w:ascii="Cambria" w:hAnsi="Cambria" w:cs="Arial"/>
          <w:sz w:val="22"/>
          <w:szCs w:val="22"/>
        </w:rPr>
        <w:t>1</w:t>
      </w:r>
      <w:r w:rsidR="00076BD5" w:rsidRPr="00A77195">
        <w:rPr>
          <w:rFonts w:ascii="Cambria" w:hAnsi="Cambria" w:cs="Arial"/>
          <w:sz w:val="22"/>
          <w:szCs w:val="22"/>
        </w:rPr>
        <w:t>.1. a 1.</w:t>
      </w:r>
      <w:r w:rsidR="00F83D68" w:rsidRPr="00A77195">
        <w:rPr>
          <w:rFonts w:ascii="Cambria" w:hAnsi="Cambria" w:cs="Arial"/>
          <w:sz w:val="22"/>
          <w:szCs w:val="22"/>
        </w:rPr>
        <w:t>1</w:t>
      </w:r>
      <w:r w:rsidR="00076BD5" w:rsidRPr="00A77195">
        <w:rPr>
          <w:rFonts w:ascii="Cambria" w:hAnsi="Cambria" w:cs="Arial"/>
          <w:sz w:val="22"/>
          <w:szCs w:val="22"/>
        </w:rPr>
        <w:t xml:space="preserve">.2.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„Paušálne </w:t>
      </w:r>
      <w:r w:rsidR="00076BD5" w:rsidRPr="00A77195">
        <w:rPr>
          <w:rFonts w:ascii="Cambria" w:hAnsi="Cambria" w:cs="Arial"/>
          <w:sz w:val="22"/>
          <w:szCs w:val="22"/>
        </w:rPr>
        <w:tab/>
      </w:r>
      <w:r w:rsidR="00DB5C2A" w:rsidRPr="00A77195">
        <w:rPr>
          <w:rFonts w:ascii="Cambria" w:hAnsi="Cambria" w:cs="Arial"/>
          <w:sz w:val="22"/>
          <w:szCs w:val="22"/>
        </w:rPr>
        <w:t>služby“)</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4437A602" w:rsidR="00DB5C2A" w:rsidRPr="00A77195" w:rsidRDefault="00CF2494" w:rsidP="00CF3D54">
      <w:pPr>
        <w:pStyle w:val="BodyTextIndent"/>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A77195">
        <w:rPr>
          <w:rFonts w:ascii="Cambria" w:hAnsi="Cambria"/>
          <w:color w:val="000000"/>
          <w:sz w:val="22"/>
          <w:szCs w:val="22"/>
        </w:rPr>
        <w:t>Konzultácie na pracovisku objednávateľa, Školenia, Implementácia a Doplnkové služby podľa čl</w:t>
      </w:r>
      <w:r w:rsidRPr="00A77195">
        <w:rPr>
          <w:rFonts w:ascii="Cambria" w:hAnsi="Cambria"/>
          <w:color w:val="000000"/>
          <w:sz w:val="22"/>
          <w:szCs w:val="22"/>
        </w:rPr>
        <w:t>ánku I bod 1.</w:t>
      </w:r>
      <w:r w:rsidR="00F83D68" w:rsidRPr="00A77195">
        <w:rPr>
          <w:rFonts w:ascii="Cambria" w:hAnsi="Cambria"/>
          <w:color w:val="000000"/>
          <w:sz w:val="22"/>
          <w:szCs w:val="22"/>
        </w:rPr>
        <w:t>1</w:t>
      </w:r>
      <w:r w:rsidRPr="00A77195">
        <w:rPr>
          <w:rFonts w:ascii="Cambria" w:hAnsi="Cambria"/>
          <w:color w:val="000000"/>
          <w:sz w:val="22"/>
          <w:szCs w:val="22"/>
        </w:rPr>
        <w:t>.3 až 1.</w:t>
      </w:r>
      <w:r w:rsidR="00F83D68" w:rsidRPr="00A77195">
        <w:rPr>
          <w:rFonts w:ascii="Cambria" w:hAnsi="Cambria"/>
          <w:color w:val="000000"/>
          <w:sz w:val="22"/>
          <w:szCs w:val="22"/>
        </w:rPr>
        <w:t>1</w:t>
      </w:r>
      <w:r w:rsidRPr="00A77195">
        <w:rPr>
          <w:rFonts w:ascii="Cambria" w:hAnsi="Cambria"/>
          <w:color w:val="000000"/>
          <w:sz w:val="22"/>
          <w:szCs w:val="22"/>
        </w:rPr>
        <w:t>.</w:t>
      </w:r>
      <w:r w:rsidR="00365F49">
        <w:rPr>
          <w:rFonts w:ascii="Cambria" w:hAnsi="Cambria"/>
          <w:color w:val="000000"/>
          <w:sz w:val="22"/>
          <w:szCs w:val="22"/>
        </w:rPr>
        <w:t>7</w:t>
      </w:r>
      <w:r w:rsidRPr="00A77195">
        <w:rPr>
          <w:rFonts w:ascii="Cambria" w:hAnsi="Cambria"/>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 xml:space="preserve">len „Objednávkové služby“)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4ED93346" w:rsidR="00C31D86" w:rsidRPr="00A77195" w:rsidRDefault="00C31D86"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w:t>
      </w:r>
      <w:r w:rsidR="00B56EAC">
        <w:rPr>
          <w:rFonts w:ascii="Cambria" w:hAnsi="Cambria" w:cs="Arial"/>
          <w:sz w:val="22"/>
          <w:szCs w:val="22"/>
        </w:rPr>
        <w:t>IS SPÚ</w:t>
      </w:r>
      <w:r w:rsidR="00E81011" w:rsidRPr="00A77195">
        <w:rPr>
          <w:rFonts w:ascii="Cambria" w:hAnsi="Cambria" w:cs="Arial"/>
          <w:sz w:val="22"/>
          <w:szCs w:val="22"/>
        </w:rPr>
        <w:t xml:space="preserve"> </w:t>
      </w:r>
      <w:r w:rsidRPr="00A77195">
        <w:rPr>
          <w:rFonts w:ascii="Cambria" w:hAnsi="Cambria" w:cs="Arial"/>
          <w:sz w:val="22"/>
          <w:szCs w:val="22"/>
        </w:rPr>
        <w:t>podľa zmluvy o dielo.</w:t>
      </w:r>
    </w:p>
    <w:p w14:paraId="78C51C8E" w14:textId="79898508" w:rsidR="00090E3B" w:rsidRPr="00A77195" w:rsidRDefault="007E3DFF"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3F3D47">
      <w:pPr>
        <w:pStyle w:val="BodyTextIndent"/>
        <w:numPr>
          <w:ilvl w:val="0"/>
          <w:numId w:val="31"/>
        </w:numPr>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BodyTextIndent"/>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BodyTextIndent"/>
        <w:ind w:left="709" w:firstLine="0"/>
        <w:jc w:val="both"/>
        <w:rPr>
          <w:rFonts w:ascii="Cambria" w:hAnsi="Cambria" w:cs="Arial"/>
          <w:sz w:val="22"/>
          <w:szCs w:val="22"/>
        </w:rPr>
      </w:pPr>
    </w:p>
    <w:bookmarkEnd w:id="3"/>
    <w:p w14:paraId="3CE56926" w14:textId="30BC6F4D"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Heading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0592757F" w:rsidR="00DF7169" w:rsidRPr="00A77195" w:rsidRDefault="007E3DFF" w:rsidP="00332739">
      <w:pPr>
        <w:pStyle w:val="BodyTextIndent"/>
        <w:numPr>
          <w:ilvl w:val="0"/>
          <w:numId w:val="33"/>
        </w:numPr>
        <w:spacing w:before="120" w:after="120"/>
        <w:ind w:left="426" w:hanging="426"/>
        <w:jc w:val="both"/>
        <w:rPr>
          <w:rFonts w:ascii="Cambria" w:hAnsi="Cambria"/>
          <w:sz w:val="22"/>
          <w:szCs w:val="22"/>
        </w:rPr>
      </w:pPr>
      <w:r w:rsidRPr="00A77195">
        <w:rPr>
          <w:rFonts w:ascii="Cambria" w:hAnsi="Cambria"/>
          <w:sz w:val="22"/>
          <w:szCs w:val="22"/>
        </w:rPr>
        <w:t xml:space="preserve">Miestom plnenia poskytovaných Servisných služieb podľa ustanovení tejto Servisnej zmluvy </w:t>
      </w:r>
      <w:r w:rsidR="00243266" w:rsidRPr="00A77195">
        <w:rPr>
          <w:rFonts w:ascii="Cambria" w:hAnsi="Cambria"/>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w:t>
      </w:r>
      <w:proofErr w:type="spellStart"/>
      <w:r w:rsidR="00243266" w:rsidRPr="00A77195">
        <w:rPr>
          <w:rFonts w:ascii="Cambria" w:hAnsi="Cambria"/>
          <w:sz w:val="22"/>
          <w:szCs w:val="22"/>
        </w:rPr>
        <w:t>Karvaša</w:t>
      </w:r>
      <w:proofErr w:type="spellEnd"/>
      <w:r w:rsidR="00243266" w:rsidRPr="00A77195">
        <w:rPr>
          <w:rFonts w:ascii="Cambria" w:hAnsi="Cambria"/>
          <w:sz w:val="22"/>
          <w:szCs w:val="22"/>
        </w:rPr>
        <w:t xml:space="preserve">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D97100">
        <w:rPr>
          <w:rFonts w:ascii="Cambria" w:hAnsi="Cambria"/>
          <w:sz w:val="22"/>
          <w:szCs w:val="22"/>
        </w:rPr>
        <w:t xml:space="preserve"> a </w:t>
      </w:r>
      <w:r w:rsidR="00D97100">
        <w:rPr>
          <w:rStyle w:val="cf01"/>
          <w:rFonts w:ascii="Cambria" w:hAnsi="Cambria"/>
          <w:sz w:val="22"/>
          <w:szCs w:val="22"/>
        </w:rPr>
        <w:t>Datacentrum, Kopčianska 92, 851 01 Bratislava</w:t>
      </w:r>
    </w:p>
    <w:p w14:paraId="21E7D476" w14:textId="66596402" w:rsidR="00C626C8" w:rsidRPr="00A77195" w:rsidRDefault="00C626C8" w:rsidP="00332739">
      <w:pPr>
        <w:pStyle w:val="BodyTextIndent"/>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tak prednostne platí, že</w:t>
      </w:r>
      <w:r w:rsidRPr="00A77195">
        <w:rPr>
          <w:rFonts w:ascii="Cambria" w:hAnsi="Cambria"/>
          <w:sz w:val="22"/>
          <w:szCs w:val="22"/>
        </w:rPr>
        <w:t xml:space="preserve"> poskytovateľ poskyt</w:t>
      </w:r>
      <w:r w:rsidR="006407CB" w:rsidRPr="00A77195">
        <w:rPr>
          <w:rFonts w:ascii="Cambria" w:hAnsi="Cambria"/>
          <w:sz w:val="22"/>
          <w:szCs w:val="22"/>
        </w:rPr>
        <w:t>uje</w:t>
      </w:r>
      <w:r w:rsidRPr="00A77195">
        <w:rPr>
          <w:rFonts w:ascii="Cambria" w:hAnsi="Cambria"/>
          <w:sz w:val="22"/>
          <w:szCs w:val="22"/>
        </w:rPr>
        <w:t xml:space="preserve"> </w:t>
      </w:r>
      <w:r w:rsidR="003B5E62" w:rsidRPr="00A77195">
        <w:rPr>
          <w:rFonts w:ascii="Cambria" w:hAnsi="Cambria"/>
          <w:sz w:val="22"/>
          <w:szCs w:val="22"/>
        </w:rPr>
        <w:t xml:space="preserve">Paušálne služby a služby Implementácia </w:t>
      </w:r>
      <w:r w:rsidRPr="00A77195">
        <w:rPr>
          <w:rFonts w:ascii="Cambria" w:hAnsi="Cambria"/>
          <w:sz w:val="22"/>
          <w:szCs w:val="22"/>
        </w:rPr>
        <w:t>prostredníctvom vzdialeného prístupu</w:t>
      </w:r>
      <w:r w:rsidR="003B5E62" w:rsidRPr="00A77195">
        <w:rPr>
          <w:rFonts w:ascii="Cambria" w:hAnsi="Cambria"/>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A19BA">
      <w:pPr>
        <w:pStyle w:val="Heading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Heading1"/>
        <w:rPr>
          <w:rFonts w:ascii="Cambria" w:hAnsi="Cambria"/>
          <w:sz w:val="22"/>
          <w:szCs w:val="22"/>
        </w:rPr>
      </w:pPr>
      <w:r w:rsidRPr="00A77195">
        <w:rPr>
          <w:rFonts w:ascii="Cambria" w:hAnsi="Cambria"/>
          <w:sz w:val="22"/>
          <w:szCs w:val="22"/>
        </w:rPr>
        <w:t>Ceny za poskytované Servisné služby a ich platobné podmienky</w:t>
      </w:r>
    </w:p>
    <w:p w14:paraId="0AFCF037" w14:textId="7B76AB62" w:rsidR="000A19BA" w:rsidRPr="00A77195" w:rsidRDefault="000A19BA" w:rsidP="00E25734">
      <w:pPr>
        <w:pStyle w:val="BodyTextIndent"/>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 xml:space="preserve">Ceny za poskytovanie Servisných služieb pre zabezpečenie prevádzky dodaného informačného systému podľa článku I bod </w:t>
      </w:r>
      <w:r w:rsidR="00E22DE6">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w:t>
      </w:r>
      <w:r w:rsidR="00365F49">
        <w:rPr>
          <w:rFonts w:ascii="Cambria" w:hAnsi="Cambria"/>
          <w:color w:val="000000" w:themeColor="text1"/>
          <w:sz w:val="22"/>
          <w:szCs w:val="22"/>
        </w:rPr>
        <w:t>7</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21CE419B"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 xml:space="preserve">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w:t>
      </w:r>
      <w:r w:rsidRPr="00A77195">
        <w:rPr>
          <w:rFonts w:ascii="Cambria" w:hAnsi="Cambria"/>
          <w:color w:val="000000" w:themeColor="text1"/>
          <w:sz w:val="22"/>
          <w:szCs w:val="22"/>
        </w:rPr>
        <w:lastRenderedPageBreak/>
        <w:t>do konca príslušného kalendárneho mesiaca</w:t>
      </w:r>
      <w:r w:rsidR="008D59A5">
        <w:rPr>
          <w:rFonts w:ascii="Cambria" w:hAnsi="Cambria"/>
          <w:color w:val="000000" w:themeColor="text1"/>
          <w:sz w:val="22"/>
          <w:szCs w:val="22"/>
        </w:rPr>
        <w:t xml:space="preserve"> a zároveň posledná faktúra za poskytované Paušálne služby za obdobie od začiatku príslušného kalendárneho mesiaca a dátumu ukončenia poskytovania Paušálnych služieb bude obsahovať pomernú časť ceny za Paušálne služby pripadajúce na počet kalendárnych dní za obdobie poskytovania Paušálnych služieb k poslednému dňu poskytovania Paušálnych služieb</w:t>
      </w:r>
      <w:r w:rsidRPr="00A77195">
        <w:rPr>
          <w:rFonts w:ascii="Cambria" w:hAnsi="Cambria"/>
          <w:color w:val="000000" w:themeColor="text1"/>
          <w:sz w:val="22"/>
          <w:szCs w:val="22"/>
        </w:rPr>
        <w:t>.</w:t>
      </w:r>
    </w:p>
    <w:p w14:paraId="7CC985D8" w14:textId="364BB161"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8">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206E9EB"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w:t>
      </w:r>
      <w:r w:rsidR="00B617B4">
        <w:rPr>
          <w:rFonts w:ascii="Cambria" w:hAnsi="Cambria"/>
          <w:color w:val="00B0F0"/>
          <w:sz w:val="22"/>
          <w:szCs w:val="22"/>
        </w:rPr>
        <w:t>hra</w:t>
      </w:r>
      <w:r w:rsidRPr="00A77195">
        <w:rPr>
          <w:rFonts w:ascii="Cambria" w:hAnsi="Cambria"/>
          <w:color w:val="00B0F0"/>
          <w:sz w:val="22"/>
          <w:szCs w:val="22"/>
        </w:rPr>
        <w:t>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4C0D57C8"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w:t>
      </w:r>
      <w:r w:rsidR="00B617B4">
        <w:rPr>
          <w:rFonts w:ascii="Cambria" w:hAnsi="Cambria"/>
          <w:color w:val="00B0F0"/>
          <w:sz w:val="22"/>
          <w:szCs w:val="22"/>
        </w:rPr>
        <w:t>hr</w:t>
      </w:r>
      <w:r w:rsidRPr="00A77195">
        <w:rPr>
          <w:rFonts w:ascii="Cambria" w:hAnsi="Cambria"/>
          <w:color w:val="00B0F0"/>
          <w:sz w:val="22"/>
          <w:szCs w:val="22"/>
        </w:rPr>
        <w:t>aničný uchádzač text tohto bodu odstráni</w:t>
      </w:r>
      <w:r w:rsidRPr="00A77195">
        <w:rPr>
          <w:rFonts w:ascii="Cambria" w:hAnsi="Cambria"/>
          <w:color w:val="000000" w:themeColor="text1"/>
          <w:sz w:val="22"/>
          <w:szCs w:val="22"/>
        </w:rPr>
        <w:t>&gt;</w:t>
      </w:r>
    </w:p>
    <w:p w14:paraId="15136212" w14:textId="09E69183" w:rsidR="000A19BA" w:rsidRPr="00A77195" w:rsidRDefault="000A19BA" w:rsidP="00E25734">
      <w:pPr>
        <w:pStyle w:val="BodyTextIndent"/>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w:t>
      </w:r>
      <w:r w:rsidR="00B617B4">
        <w:rPr>
          <w:rFonts w:ascii="Cambria" w:hAnsi="Cambria"/>
          <w:color w:val="00B0F0"/>
          <w:sz w:val="22"/>
          <w:szCs w:val="22"/>
        </w:rPr>
        <w:t>hr</w:t>
      </w:r>
      <w:r w:rsidRPr="00A77195">
        <w:rPr>
          <w:rFonts w:ascii="Cambria" w:hAnsi="Cambria"/>
          <w:color w:val="00B0F0"/>
          <w:sz w:val="22"/>
          <w:szCs w:val="22"/>
        </w:rPr>
        <w:t>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BodyTextIndent"/>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 xml:space="preserve">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w:t>
      </w:r>
      <w:r w:rsidRPr="00A77195">
        <w:rPr>
          <w:rFonts w:ascii="Cambria" w:hAnsi="Cambria"/>
          <w:color w:val="000000" w:themeColor="text1"/>
          <w:sz w:val="22"/>
          <w:szCs w:val="22"/>
        </w:rPr>
        <w:lastRenderedPageBreak/>
        <w:t>objednávateľovi vzniknutú z akéhokoľvek dôvodu proti pohľadávke objednávateľa voči poskytovateľovi vzniknutej na základe alebo v súvislosti s touto Servisnou zmluvou bez predchádzajúceho písomného súhlasu objednávateľa.</w:t>
      </w:r>
    </w:p>
    <w:p w14:paraId="70B72D1F" w14:textId="04190B66" w:rsidR="00A7643B" w:rsidRDefault="00D12399" w:rsidP="00480B82">
      <w:pPr>
        <w:pStyle w:val="BodyTextIndent"/>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TableGrid"/>
        <w:tblW w:w="0" w:type="auto"/>
        <w:tblInd w:w="426" w:type="dxa"/>
        <w:tblLook w:val="04A0" w:firstRow="1" w:lastRow="0" w:firstColumn="1" w:lastColumn="0" w:noHBand="0" w:noVBand="1"/>
      </w:tblPr>
      <w:tblGrid>
        <w:gridCol w:w="1129"/>
        <w:gridCol w:w="3260"/>
        <w:gridCol w:w="4813"/>
      </w:tblGrid>
      <w:tr w:rsidR="00D2085B" w14:paraId="12FA9B5C" w14:textId="77777777" w:rsidTr="006A6212">
        <w:tc>
          <w:tcPr>
            <w:tcW w:w="1129" w:type="dxa"/>
            <w:shd w:val="clear" w:color="auto" w:fill="D9E2F3" w:themeFill="accent1" w:themeFillTint="33"/>
          </w:tcPr>
          <w:p w14:paraId="330A9836" w14:textId="3B7DBB1B"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6A6212">
        <w:tc>
          <w:tcPr>
            <w:tcW w:w="1129" w:type="dxa"/>
          </w:tcPr>
          <w:p w14:paraId="3326D411" w14:textId="51249EBB"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6A6212">
        <w:tc>
          <w:tcPr>
            <w:tcW w:w="1129" w:type="dxa"/>
          </w:tcPr>
          <w:p w14:paraId="514BC26F" w14:textId="6FA71D7D"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6A6212">
        <w:tc>
          <w:tcPr>
            <w:tcW w:w="1129" w:type="dxa"/>
          </w:tcPr>
          <w:p w14:paraId="5127AEB6" w14:textId="77D319A7" w:rsidR="007E05CF" w:rsidRPr="003E3A51" w:rsidRDefault="00383304" w:rsidP="007E05CF">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1</w:t>
            </w:r>
          </w:p>
        </w:tc>
        <w:tc>
          <w:tcPr>
            <w:tcW w:w="3260" w:type="dxa"/>
          </w:tcPr>
          <w:p w14:paraId="7A664A6A" w14:textId="50846B1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52863706" w14:textId="77777777" w:rsidTr="006A6212">
        <w:tc>
          <w:tcPr>
            <w:tcW w:w="1129" w:type="dxa"/>
          </w:tcPr>
          <w:p w14:paraId="72662898" w14:textId="49D4ABBA" w:rsidR="00A9738D" w:rsidRPr="003E3A51" w:rsidRDefault="00383304"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2</w:t>
            </w:r>
          </w:p>
        </w:tc>
        <w:tc>
          <w:tcPr>
            <w:tcW w:w="3260" w:type="dxa"/>
          </w:tcPr>
          <w:p w14:paraId="543051BE" w14:textId="4AAB90C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BC89061" w14:textId="77777777" w:rsidTr="006A6212">
        <w:tc>
          <w:tcPr>
            <w:tcW w:w="1129" w:type="dxa"/>
          </w:tcPr>
          <w:p w14:paraId="08EDCF59" w14:textId="1A75A641" w:rsidR="00A9738D" w:rsidRPr="003E3A51" w:rsidRDefault="00383304"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3</w:t>
            </w:r>
          </w:p>
        </w:tc>
        <w:tc>
          <w:tcPr>
            <w:tcW w:w="3260" w:type="dxa"/>
          </w:tcPr>
          <w:p w14:paraId="26384EA5" w14:textId="33A4EE0E"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DA41A8" w14:paraId="573F4680" w14:textId="77777777" w:rsidTr="006A6212">
        <w:tc>
          <w:tcPr>
            <w:tcW w:w="1129" w:type="dxa"/>
          </w:tcPr>
          <w:p w14:paraId="61D1BEF0" w14:textId="47CCE2B2" w:rsidR="00DA41A8" w:rsidRDefault="00DA41A8"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OS 4</w:t>
            </w:r>
          </w:p>
        </w:tc>
        <w:tc>
          <w:tcPr>
            <w:tcW w:w="3260" w:type="dxa"/>
          </w:tcPr>
          <w:p w14:paraId="4696E603" w14:textId="14C31217" w:rsidR="00DA41A8" w:rsidRPr="003E3A51" w:rsidRDefault="00DA41A8" w:rsidP="00A9738D">
            <w:pPr>
              <w:pStyle w:val="BodyTextIndent"/>
              <w:ind w:left="0" w:firstLine="0"/>
              <w:jc w:val="both"/>
              <w:rPr>
                <w:rFonts w:ascii="Cambria" w:hAnsi="Cambria"/>
                <w:color w:val="000000" w:themeColor="text1"/>
                <w:sz w:val="16"/>
                <w:szCs w:val="16"/>
              </w:rPr>
            </w:pPr>
            <w:r>
              <w:rPr>
                <w:rFonts w:ascii="Cambria" w:hAnsi="Cambria"/>
                <w:color w:val="000000" w:themeColor="text1"/>
                <w:sz w:val="16"/>
                <w:szCs w:val="16"/>
              </w:rPr>
              <w:t>Služba Pohotovosť</w:t>
            </w:r>
          </w:p>
        </w:tc>
        <w:tc>
          <w:tcPr>
            <w:tcW w:w="4813" w:type="dxa"/>
          </w:tcPr>
          <w:p w14:paraId="2602DF5A" w14:textId="4D66240F" w:rsidR="00DA41A8" w:rsidRPr="003E3A51" w:rsidRDefault="00DA41A8" w:rsidP="00A9738D">
            <w:pPr>
              <w:pStyle w:val="BodyTextIndent"/>
              <w:ind w:left="0" w:firstLine="0"/>
              <w:jc w:val="both"/>
              <w:rPr>
                <w:rFonts w:ascii="Cambria" w:hAnsi="Cambria"/>
                <w:sz w:val="16"/>
                <w:szCs w:val="16"/>
              </w:rPr>
            </w:pPr>
            <w:r>
              <w:rPr>
                <w:rFonts w:ascii="Cambria" w:hAnsi="Cambria"/>
                <w:sz w:val="16"/>
                <w:szCs w:val="16"/>
              </w:rPr>
              <w:t>Cena jedného víkendu (48 h) služby Pohotovosť</w:t>
            </w:r>
          </w:p>
        </w:tc>
      </w:tr>
      <w:tr w:rsidR="00206476" w14:paraId="314F637F" w14:textId="77777777" w:rsidTr="006A6212">
        <w:tc>
          <w:tcPr>
            <w:tcW w:w="1129" w:type="dxa"/>
          </w:tcPr>
          <w:p w14:paraId="73EF6C61" w14:textId="7CC5E83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BodyTextIndent"/>
              <w:ind w:left="0" w:firstLine="0"/>
              <w:jc w:val="both"/>
              <w:rPr>
                <w:rFonts w:ascii="Cambria" w:hAnsi="Cambria"/>
                <w:color w:val="000000" w:themeColor="text1"/>
                <w:sz w:val="16"/>
                <w:szCs w:val="16"/>
              </w:rPr>
            </w:pPr>
            <w:proofErr w:type="spellStart"/>
            <w:r w:rsidRPr="003E3A51">
              <w:rPr>
                <w:rFonts w:ascii="Cambria" w:hAnsi="Cambria"/>
                <w:color w:val="000000" w:themeColor="text1"/>
                <w:sz w:val="16"/>
                <w:szCs w:val="16"/>
              </w:rPr>
              <w:t>Exit</w:t>
            </w:r>
            <w:proofErr w:type="spellEnd"/>
            <w:r w:rsidRPr="003E3A51">
              <w:rPr>
                <w:rFonts w:ascii="Cambria" w:hAnsi="Cambria"/>
                <w:color w:val="000000" w:themeColor="text1"/>
                <w:sz w:val="16"/>
                <w:szCs w:val="16"/>
              </w:rPr>
              <w:t xml:space="preserve"> služba</w:t>
            </w:r>
          </w:p>
        </w:tc>
        <w:tc>
          <w:tcPr>
            <w:tcW w:w="4813" w:type="dxa"/>
          </w:tcPr>
          <w:p w14:paraId="64411F01" w14:textId="120300AD"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EE03D1C" w14:textId="77777777" w:rsidTr="006A6212">
        <w:tc>
          <w:tcPr>
            <w:tcW w:w="1129" w:type="dxa"/>
          </w:tcPr>
          <w:p w14:paraId="13E54387" w14:textId="5E26CE5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BodyTextIndent"/>
              <w:ind w:left="0" w:firstLine="0"/>
              <w:jc w:val="both"/>
              <w:rPr>
                <w:rFonts w:ascii="Cambria" w:hAnsi="Cambria" w:cs="Arial"/>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bl>
    <w:p w14:paraId="13189D95" w14:textId="2698E245"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1.9.2025, jeden rok od účinnosti zmluvy je 1.9.2026, nasledujúci rok je 2027, poskytovateľ musí do 15.2.2026 požiadať o navýšenie ceny).</w:t>
      </w:r>
      <w:r w:rsidR="00D37F55" w:rsidRPr="00D37F55">
        <w:rPr>
          <w:rFonts w:ascii="Cambria" w:hAnsi="Cambria"/>
          <w:sz w:val="22"/>
          <w:szCs w:val="22"/>
        </w:rPr>
        <w:t xml:space="preserve"> Navýšenie ceny z dôvodu inflácie nie je možné vykonať za časové obdobie predchádzajúce roku 2027. Objednávateľ je v prípade splnenia podmienok kladených na poskytovateľovu žiadosť o navýšenie ceny upravených v tomto bode uplatnenej žiadosti poskytovateľa vyhovieť.</w:t>
      </w:r>
    </w:p>
    <w:p w14:paraId="32620AD6" w14:textId="5E4C3FE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w:t>
      </w:r>
      <w:proofErr w:type="spellStart"/>
      <w:r w:rsidR="000D0B37">
        <w:rPr>
          <w:rFonts w:ascii="Cambria" w:hAnsi="Cambria"/>
          <w:color w:val="000000" w:themeColor="text1"/>
          <w:sz w:val="22"/>
          <w:szCs w:val="22"/>
        </w:rPr>
        <w:t>osobodeň</w:t>
      </w:r>
      <w:proofErr w:type="spellEnd"/>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51FDDAC"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Infláciou sa rozumie zverejnená medziročná miera inflácie vyjadrená prírastkom harmonizovaného indexu spotrebiteľských cien pre Eurozónu za 12 mesiacov predchádzajúceho kalendárneho roka, zverejňovaného Štatistickým úradom Európskych spoločenstiev (</w:t>
      </w:r>
      <w:hyperlink r:id="rId9"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BodyTextIndent"/>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BodyTextIndent"/>
        <w:ind w:left="360" w:firstLine="0"/>
        <w:jc w:val="both"/>
        <w:rPr>
          <w:rFonts w:ascii="Cambria" w:hAnsi="Cambria"/>
          <w:sz w:val="22"/>
          <w:szCs w:val="22"/>
        </w:rPr>
      </w:pPr>
    </w:p>
    <w:p w14:paraId="2687489A" w14:textId="49DCA249" w:rsidR="007D6CB2" w:rsidRPr="00A77195" w:rsidRDefault="007D6CB2" w:rsidP="000A58FC">
      <w:pPr>
        <w:pStyle w:val="Heading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Heading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BodyTextIndent"/>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BodyTextIndent"/>
        <w:numPr>
          <w:ilvl w:val="0"/>
          <w:numId w:val="5"/>
        </w:numPr>
        <w:ind w:hanging="357"/>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ED1918">
      <w:pPr>
        <w:pStyle w:val="BodyTextIndent"/>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ervisnej služby Údržba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BodyTextIndent"/>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lastRenderedPageBreak/>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BodyTextIndent"/>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BodyTextIndent"/>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BodyTextIndent"/>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35E16E6"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„Zásadný incident“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poskytovateľ je povinný zaplatiť objednávateľovi zmluvnú pokutu vo výške 1</w:t>
      </w:r>
      <w:r w:rsidR="003965A0" w:rsidRPr="003965A0">
        <w:rPr>
          <w:rFonts w:ascii="Cambria" w:hAnsi="Cambria"/>
          <w:sz w:val="22"/>
          <w:szCs w:val="22"/>
        </w:rPr>
        <w:t>0</w:t>
      </w:r>
      <w:r w:rsidRPr="003965A0">
        <w:rPr>
          <w:rFonts w:ascii="Cambria" w:hAnsi="Cambria"/>
          <w:sz w:val="22"/>
          <w:szCs w:val="22"/>
        </w:rPr>
        <w:t xml:space="preserve">.000,-eur bez DPH do 14 dní od doručenia faktúry poskytovateľovi. </w:t>
      </w:r>
    </w:p>
    <w:p w14:paraId="091D2AF5" w14:textId="7ED0FD3B" w:rsidR="00175F48" w:rsidRPr="003965A0" w:rsidRDefault="00175F48" w:rsidP="00175F48">
      <w:pPr>
        <w:pStyle w:val="BodyTextIndent"/>
        <w:numPr>
          <w:ilvl w:val="5"/>
          <w:numId w:val="20"/>
        </w:numPr>
        <w:spacing w:before="120" w:after="120"/>
        <w:ind w:hanging="654"/>
        <w:jc w:val="both"/>
        <w:rPr>
          <w:rFonts w:ascii="Cambria" w:hAnsi="Cambria"/>
          <w:sz w:val="22"/>
          <w:szCs w:val="22"/>
        </w:rPr>
      </w:pPr>
      <w:r w:rsidRPr="003965A0">
        <w:rPr>
          <w:rFonts w:ascii="Cambria" w:hAnsi="Cambria"/>
          <w:sz w:val="22"/>
          <w:szCs w:val="22"/>
        </w:rPr>
        <w:t xml:space="preserve">„Závažný incident“ viac ako 3-krát v priebehu jedného kalendárneho mesiaca, alebo viac ako 5-krát 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 xml:space="preserve">poskytovateľ je povinný zaplatiť objednávateľovi zmluvnú pokutu vo výške </w:t>
      </w:r>
      <w:r w:rsidR="003965A0" w:rsidRPr="003965A0">
        <w:rPr>
          <w:rFonts w:ascii="Cambria" w:hAnsi="Cambria"/>
          <w:sz w:val="22"/>
          <w:szCs w:val="22"/>
        </w:rPr>
        <w:t>5</w:t>
      </w:r>
      <w:r w:rsidRPr="003965A0">
        <w:rPr>
          <w:rFonts w:ascii="Cambria" w:hAnsi="Cambria"/>
          <w:sz w:val="22"/>
          <w:szCs w:val="22"/>
        </w:rPr>
        <w:t xml:space="preserve">.000,-eur bez DPH do 14 dní od doručenia faktúry poskytovateľovi. </w:t>
      </w:r>
    </w:p>
    <w:bookmarkEnd w:id="7"/>
    <w:p w14:paraId="030F6961" w14:textId="0DB9F464" w:rsidR="00E11896" w:rsidRPr="00151652" w:rsidRDefault="00E11896" w:rsidP="00ED1918">
      <w:pPr>
        <w:pStyle w:val="BodyTextIndent"/>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Pr="00230482" w:rsidRDefault="00A71787" w:rsidP="00ED1918">
      <w:pPr>
        <w:pStyle w:val="BodyTextIndent"/>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6"/>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420B672C" w:rsidR="00AD5380" w:rsidRPr="00171141" w:rsidRDefault="00721DBF" w:rsidP="00FE42A4">
      <w:pPr>
        <w:pStyle w:val="BodyTextIndent"/>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F8672B">
        <w:rPr>
          <w:rFonts w:ascii="Cambria" w:hAnsi="Cambria"/>
          <w:sz w:val="22"/>
          <w:szCs w:val="22"/>
        </w:rPr>
        <w:t xml:space="preserve">dobu určitú, a to na </w:t>
      </w:r>
      <w:r w:rsidR="003F6CAE" w:rsidRPr="00F8672B">
        <w:rPr>
          <w:rFonts w:ascii="Cambria" w:hAnsi="Cambria"/>
          <w:sz w:val="22"/>
          <w:szCs w:val="22"/>
        </w:rPr>
        <w:t>dobu</w:t>
      </w:r>
      <w:r w:rsidRPr="00F8672B">
        <w:rPr>
          <w:rFonts w:ascii="Cambria" w:hAnsi="Cambria"/>
          <w:sz w:val="22"/>
          <w:szCs w:val="22"/>
        </w:rPr>
        <w:t xml:space="preserve"> </w:t>
      </w:r>
      <w:r w:rsidR="00070B57">
        <w:rPr>
          <w:rFonts w:ascii="Cambria" w:hAnsi="Cambria"/>
          <w:sz w:val="22"/>
          <w:szCs w:val="22"/>
        </w:rPr>
        <w:t>60</w:t>
      </w:r>
      <w:r w:rsidR="00AF16E1" w:rsidRPr="00F8672B">
        <w:rPr>
          <w:rFonts w:ascii="Cambria" w:hAnsi="Cambria"/>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B56EAC">
        <w:rPr>
          <w:rFonts w:ascii="Cambria" w:hAnsi="Cambria"/>
          <w:sz w:val="22"/>
          <w:szCs w:val="22"/>
        </w:rPr>
        <w:t>IS SPÚ</w:t>
      </w:r>
      <w:r w:rsidR="00E36090">
        <w:rPr>
          <w:rFonts w:ascii="Cambria" w:hAnsi="Cambria"/>
          <w:sz w:val="22"/>
          <w:szCs w:val="22"/>
        </w:rPr>
        <w:t xml:space="preserve"> podľa zmluvy o</w:t>
      </w:r>
      <w:r w:rsidR="00070B57">
        <w:rPr>
          <w:rFonts w:ascii="Cambria" w:hAnsi="Cambria"/>
          <w:sz w:val="22"/>
          <w:szCs w:val="22"/>
        </w:rPr>
        <w:t> </w:t>
      </w:r>
      <w:r w:rsidR="00E36090">
        <w:rPr>
          <w:rFonts w:ascii="Cambria" w:hAnsi="Cambria"/>
          <w:sz w:val="22"/>
          <w:szCs w:val="22"/>
        </w:rPr>
        <w:t>dielo</w:t>
      </w:r>
      <w:r w:rsidR="00070B57">
        <w:rPr>
          <w:rFonts w:ascii="Cambria" w:hAnsi="Cambria"/>
          <w:sz w:val="22"/>
          <w:szCs w:val="22"/>
        </w:rPr>
        <w:t>.</w:t>
      </w:r>
    </w:p>
    <w:p w14:paraId="1554885D" w14:textId="77777777" w:rsidR="00F17F17" w:rsidRDefault="00F17F17" w:rsidP="00F17F17">
      <w:pPr>
        <w:pStyle w:val="Heading1"/>
        <w:rPr>
          <w:rFonts w:ascii="Cambria" w:hAnsi="Cambria"/>
          <w:sz w:val="22"/>
          <w:szCs w:val="22"/>
        </w:rPr>
      </w:pPr>
      <w:bookmarkStart w:id="8" w:name="_Hlk100562925"/>
      <w:bookmarkStart w:id="9" w:name="_Ref531066941"/>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3B18966C" w14:textId="5D831A81" w:rsidR="00F17F17" w:rsidRDefault="004D0211" w:rsidP="00E00AC3">
      <w:pPr>
        <w:pStyle w:val="BodyTextIndent"/>
        <w:numPr>
          <w:ilvl w:val="0"/>
          <w:numId w:val="39"/>
        </w:numPr>
        <w:spacing w:after="240"/>
        <w:jc w:val="both"/>
        <w:rPr>
          <w:rFonts w:ascii="Cambria" w:hAnsi="Cambria"/>
          <w:sz w:val="22"/>
          <w:szCs w:val="22"/>
        </w:rPr>
      </w:pPr>
      <w:bookmarkStart w:id="10" w:name="_Hlk104956360"/>
      <w:r>
        <w:rPr>
          <w:rFonts w:ascii="Cambria" w:hAnsi="Cambria"/>
          <w:sz w:val="22"/>
          <w:szCs w:val="22"/>
        </w:rPr>
        <w:t xml:space="preserve">Licencia k dodanému informačnému systému je upravená v zmluve o dielo. </w:t>
      </w:r>
    </w:p>
    <w:p w14:paraId="6D502968" w14:textId="2C22CE8C" w:rsidR="004C6199" w:rsidRDefault="004C6199" w:rsidP="004C6199">
      <w:pPr>
        <w:pStyle w:val="Heading1"/>
        <w:rPr>
          <w:rFonts w:ascii="Cambria" w:hAnsi="Cambria"/>
          <w:sz w:val="22"/>
          <w:szCs w:val="22"/>
        </w:rPr>
      </w:pPr>
      <w:r>
        <w:rPr>
          <w:rFonts w:ascii="Cambria" w:hAnsi="Cambria"/>
          <w:sz w:val="22"/>
          <w:szCs w:val="22"/>
        </w:rPr>
        <w:t>Článok VII</w:t>
      </w:r>
      <w:r w:rsidR="006344AF">
        <w:rPr>
          <w:rFonts w:ascii="Cambria" w:hAnsi="Cambria"/>
          <w:sz w:val="22"/>
          <w:szCs w:val="22"/>
        </w:rPr>
        <w:t>I</w:t>
      </w:r>
    </w:p>
    <w:p w14:paraId="37516C13" w14:textId="09D1C5F9" w:rsidR="004C6199" w:rsidRDefault="004C6199" w:rsidP="004C6199">
      <w:pPr>
        <w:pStyle w:val="Heading1"/>
        <w:rPr>
          <w:rFonts w:ascii="Cambria" w:hAnsi="Cambria"/>
          <w:sz w:val="22"/>
          <w:szCs w:val="22"/>
        </w:rPr>
      </w:pPr>
      <w:r>
        <w:rPr>
          <w:rFonts w:ascii="Cambria" w:hAnsi="Cambria"/>
          <w:sz w:val="22"/>
          <w:szCs w:val="22"/>
        </w:rPr>
        <w:t>Zmena poskytovateľa</w:t>
      </w:r>
    </w:p>
    <w:p w14:paraId="6BDBAE74" w14:textId="77777777" w:rsidR="004C6199" w:rsidRPr="009A1370" w:rsidRDefault="004C6199" w:rsidP="009A1370"/>
    <w:p w14:paraId="788BC02D" w14:textId="5B4EE5C5" w:rsidR="004C4DD6" w:rsidRDefault="004C6199" w:rsidP="004C4DD6">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Poskytovateľ sa zaväzuje </w:t>
      </w:r>
      <w:r w:rsidR="0077694D">
        <w:rPr>
          <w:rFonts w:ascii="Cambria" w:eastAsiaTheme="minorHAnsi" w:hAnsi="Cambria" w:cstheme="minorBidi"/>
          <w:sz w:val="22"/>
          <w:szCs w:val="22"/>
          <w:lang w:val="sk-SK" w:eastAsia="en-US"/>
        </w:rPr>
        <w:t xml:space="preserve">bezodkladne </w:t>
      </w:r>
      <w:r>
        <w:rPr>
          <w:rFonts w:ascii="Cambria" w:eastAsiaTheme="minorHAnsi" w:hAnsi="Cambria" w:cstheme="minorBidi"/>
          <w:sz w:val="22"/>
          <w:szCs w:val="22"/>
          <w:lang w:val="sk-SK" w:eastAsia="en-US"/>
        </w:rPr>
        <w:t xml:space="preserve">písomne informovať objednávateľa </w:t>
      </w:r>
      <w:r w:rsidR="0077694D">
        <w:rPr>
          <w:rFonts w:ascii="Cambria" w:eastAsiaTheme="minorHAnsi" w:hAnsi="Cambria" w:cstheme="minorBidi"/>
          <w:sz w:val="22"/>
          <w:szCs w:val="22"/>
          <w:lang w:val="sk-SK" w:eastAsia="en-US"/>
        </w:rPr>
        <w:t xml:space="preserve">o </w:t>
      </w:r>
      <w:r>
        <w:rPr>
          <w:rFonts w:ascii="Cambria" w:eastAsiaTheme="minorHAnsi" w:hAnsi="Cambria" w:cstheme="minorBidi"/>
          <w:sz w:val="22"/>
          <w:szCs w:val="22"/>
          <w:lang w:val="sk-SK" w:eastAsia="en-US"/>
        </w:rPr>
        <w:t xml:space="preserve">vzniku </w:t>
      </w:r>
      <w:r w:rsidR="0077694D">
        <w:rPr>
          <w:rFonts w:ascii="Cambria" w:eastAsiaTheme="minorHAnsi" w:hAnsi="Cambria" w:cstheme="minorBidi"/>
          <w:sz w:val="22"/>
          <w:szCs w:val="22"/>
          <w:lang w:val="sk-SK" w:eastAsia="en-US"/>
        </w:rPr>
        <w:t xml:space="preserve">akejkoľvek </w:t>
      </w:r>
      <w:r>
        <w:rPr>
          <w:rFonts w:ascii="Cambria" w:eastAsiaTheme="minorHAnsi" w:hAnsi="Cambria" w:cstheme="minorBidi"/>
          <w:sz w:val="22"/>
          <w:szCs w:val="22"/>
          <w:lang w:val="sk-SK" w:eastAsia="en-US"/>
        </w:rPr>
        <w:t>skutočnosti na základe ktorej prestane byť poskytovateľ autorizovaný</w:t>
      </w:r>
      <w:r w:rsidR="0077694D">
        <w:rPr>
          <w:rFonts w:ascii="Cambria" w:eastAsiaTheme="minorHAnsi" w:hAnsi="Cambria" w:cstheme="minorBidi"/>
          <w:sz w:val="22"/>
          <w:szCs w:val="22"/>
          <w:lang w:val="sk-SK" w:eastAsia="en-US"/>
        </w:rPr>
        <w:t xml:space="preserve"> dodávateľ resp. poskytovateľ </w:t>
      </w:r>
      <w:r w:rsidR="0079612E">
        <w:rPr>
          <w:rFonts w:ascii="Cambria" w:eastAsiaTheme="minorHAnsi" w:hAnsi="Cambria" w:cstheme="minorBidi"/>
          <w:sz w:val="22"/>
          <w:szCs w:val="22"/>
          <w:lang w:val="sk-SK" w:eastAsia="en-US"/>
        </w:rPr>
        <w:t>S</w:t>
      </w:r>
      <w:r w:rsidR="0077694D">
        <w:rPr>
          <w:rFonts w:ascii="Cambria" w:eastAsiaTheme="minorHAnsi" w:hAnsi="Cambria" w:cstheme="minorBidi"/>
          <w:sz w:val="22"/>
          <w:szCs w:val="22"/>
          <w:lang w:val="sk-SK" w:eastAsia="en-US"/>
        </w:rPr>
        <w:t xml:space="preserve">ervisných služieb </w:t>
      </w:r>
      <w:r w:rsidR="004C4DD6">
        <w:rPr>
          <w:rFonts w:ascii="Cambria" w:eastAsiaTheme="minorHAnsi" w:hAnsi="Cambria" w:cstheme="minorBidi"/>
          <w:sz w:val="22"/>
          <w:szCs w:val="22"/>
          <w:lang w:val="sk-SK" w:eastAsia="en-US"/>
        </w:rPr>
        <w:t>na dodanom informačnom systéme.</w:t>
      </w:r>
    </w:p>
    <w:p w14:paraId="3EBF669F" w14:textId="6BD5B571" w:rsidR="004C6199" w:rsidRPr="00794E6A" w:rsidRDefault="00EA2DD2" w:rsidP="009A1370">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Ak poskytovateľ prestane byť autorizovaný dodávateľ resp. poskytovateľ servisných služieb na dodanom informačnom systéme, tak </w:t>
      </w:r>
      <w:r w:rsidR="007D1461">
        <w:rPr>
          <w:rFonts w:ascii="Cambria" w:eastAsiaTheme="minorHAnsi" w:hAnsi="Cambria" w:cstheme="minorBidi"/>
          <w:sz w:val="22"/>
          <w:szCs w:val="22"/>
          <w:lang w:val="sk-SK" w:eastAsia="en-US"/>
        </w:rPr>
        <w:t>táto skutočnosť sa považuje za podstatné porušenie zmluvy, pričom</w:t>
      </w:r>
      <w:r w:rsidR="002F5383">
        <w:rPr>
          <w:rFonts w:ascii="Cambria" w:eastAsiaTheme="minorHAnsi" w:hAnsi="Cambria" w:cstheme="minorBidi"/>
          <w:sz w:val="22"/>
          <w:szCs w:val="22"/>
          <w:lang w:val="sk-SK" w:eastAsia="en-US"/>
        </w:rPr>
        <w:t xml:space="preserve"> </w:t>
      </w:r>
      <w:r>
        <w:rPr>
          <w:rFonts w:ascii="Cambria" w:eastAsiaTheme="minorHAnsi" w:hAnsi="Cambria" w:cstheme="minorBidi"/>
          <w:sz w:val="22"/>
          <w:szCs w:val="22"/>
          <w:lang w:val="sk-SK" w:eastAsia="en-US"/>
        </w:rPr>
        <w:t>objednávateľ</w:t>
      </w:r>
      <w:r w:rsidR="007D1461">
        <w:rPr>
          <w:rFonts w:ascii="Cambria" w:eastAsiaTheme="minorHAnsi" w:hAnsi="Cambria" w:cstheme="minorBidi"/>
          <w:sz w:val="22"/>
          <w:szCs w:val="22"/>
          <w:lang w:val="sk-SK" w:eastAsia="en-US"/>
        </w:rPr>
        <w:t xml:space="preserve"> je</w:t>
      </w:r>
      <w:r>
        <w:rPr>
          <w:rFonts w:ascii="Cambria" w:eastAsiaTheme="minorHAnsi" w:hAnsi="Cambria" w:cstheme="minorBidi"/>
          <w:sz w:val="22"/>
          <w:szCs w:val="22"/>
          <w:lang w:val="sk-SK" w:eastAsia="en-US"/>
        </w:rPr>
        <w:t xml:space="preserve"> </w:t>
      </w:r>
      <w:r w:rsidR="004C6199" w:rsidRPr="00794E6A">
        <w:rPr>
          <w:rFonts w:ascii="Cambria" w:eastAsiaTheme="minorHAnsi" w:hAnsi="Cambria" w:cstheme="minorBidi"/>
          <w:sz w:val="22"/>
          <w:szCs w:val="22"/>
          <w:lang w:val="sk-SK" w:eastAsia="en-US"/>
        </w:rPr>
        <w:t xml:space="preserve">oprávnený vykonať zmenu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spočívajúcu v zmene osoby poskytovateľa, a to nahradením pôvodného </w:t>
      </w:r>
      <w:r w:rsidR="004C6199" w:rsidRPr="008E2262">
        <w:rPr>
          <w:rFonts w:ascii="Cambria" w:eastAsiaTheme="minorHAnsi" w:hAnsi="Cambria" w:cstheme="minorBidi"/>
          <w:sz w:val="22"/>
          <w:szCs w:val="22"/>
          <w:lang w:val="sk-SK" w:eastAsia="en-US"/>
        </w:rPr>
        <w:t xml:space="preserve">poskytovateľa (ďalej len "Pôvodný poskytovateľ") novým poskytovateľom v súlade s § 18 zákona č. 343/2015 Z. z. Zmenu v osobe poskytovateľa je </w:t>
      </w:r>
      <w:r w:rsidR="004C6199" w:rsidRPr="008E2262">
        <w:rPr>
          <w:rFonts w:ascii="Cambria" w:eastAsiaTheme="minorHAnsi" w:hAnsi="Cambria" w:cstheme="minorBidi"/>
          <w:sz w:val="22"/>
          <w:szCs w:val="22"/>
          <w:lang w:val="sk-SK" w:eastAsia="en-US"/>
        </w:rPr>
        <w:lastRenderedPageBreak/>
        <w:t>objednávateľ oprávnený vykonať nahradením pôvodného poskytovateľa subjektom, ktorý ako uchádzač vo Verejnom obstarávaní k zákazke s názvom „</w:t>
      </w:r>
      <w:r w:rsidR="004C6199">
        <w:rPr>
          <w:rFonts w:ascii="Cambria" w:eastAsiaTheme="minorHAnsi" w:hAnsi="Cambria" w:cstheme="minorBidi"/>
          <w:i/>
          <w:iCs/>
          <w:sz w:val="22"/>
          <w:szCs w:val="22"/>
          <w:lang w:val="sk-SK" w:eastAsia="en-US"/>
        </w:rPr>
        <w:t>Správa privilegovaných účtov</w:t>
      </w:r>
      <w:r w:rsidR="004C6199" w:rsidRPr="008E2262">
        <w:rPr>
          <w:rFonts w:ascii="Cambria" w:eastAsiaTheme="minorHAnsi" w:hAnsi="Cambria" w:cstheme="minorBidi"/>
          <w:sz w:val="22"/>
          <w:szCs w:val="22"/>
          <w:lang w:val="sk-SK" w:eastAsia="en-US"/>
        </w:rPr>
        <w:t>“ splnil podmienky účasti, všetky požiadavky na predmet zákazky, vrátane splnenia povinností v zmysle súťažných podkladov vo Verejnom obstarávaní a umiestnil sa na druhom mieste v poradí v rámci</w:t>
      </w:r>
      <w:r w:rsidR="004C6199" w:rsidRPr="00794E6A">
        <w:rPr>
          <w:rFonts w:ascii="Cambria" w:eastAsiaTheme="minorHAnsi" w:hAnsi="Cambria" w:cstheme="minorBidi"/>
          <w:sz w:val="22"/>
          <w:szCs w:val="22"/>
          <w:lang w:val="sk-SK" w:eastAsia="en-US"/>
        </w:rPr>
        <w:t xml:space="preserve"> Verejného obstarávania (ďalej len "Nový poskytovateľ"). Na vysporiadanie plnení medzi Pôvodným poskytovateľom a objednávateľom sa primerane aplikujú ustanovenia bodu </w:t>
      </w:r>
      <w:r w:rsidR="002F5383">
        <w:rPr>
          <w:rFonts w:ascii="Cambria" w:eastAsiaTheme="minorHAnsi" w:hAnsi="Cambria" w:cstheme="minorBidi"/>
          <w:sz w:val="22"/>
          <w:szCs w:val="22"/>
          <w:lang w:val="sk-SK" w:eastAsia="en-US"/>
        </w:rPr>
        <w:t>4</w:t>
      </w:r>
      <w:r w:rsidR="004C6199" w:rsidRPr="00794E6A">
        <w:rPr>
          <w:rFonts w:ascii="Cambria" w:eastAsiaTheme="minorHAnsi" w:hAnsi="Cambria" w:cstheme="minorBidi"/>
          <w:sz w:val="22"/>
          <w:szCs w:val="22"/>
          <w:lang w:val="sk-SK" w:eastAsia="en-US"/>
        </w:rPr>
        <w:t xml:space="preserve"> tohto článku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Na vysporiadanie plnení medzi Novým poskytovateľom a objednávateľom sa vykonajú primerané úpravy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w:t>
      </w:r>
    </w:p>
    <w:p w14:paraId="4FD0B36F" w14:textId="1E018AAB"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Poskytovateľ súhlasí s takouto zmenou </w:t>
      </w:r>
      <w:r w:rsidR="002F5383">
        <w:rPr>
          <w:rFonts w:ascii="Cambria" w:hAnsi="Cambria"/>
        </w:rPr>
        <w:t>Servisnej zmluvy</w:t>
      </w:r>
      <w:r w:rsidRPr="00794E6A">
        <w:rPr>
          <w:rFonts w:ascii="Cambria" w:hAnsi="Cambria"/>
        </w:rPr>
        <w:t xml:space="preserve">, ak objednávateľ nahradí Pôvodného poskytovateľa Novým poskytovateľom podľa bodu </w:t>
      </w:r>
      <w:r w:rsidR="00DC7231">
        <w:rPr>
          <w:rFonts w:ascii="Cambria" w:hAnsi="Cambria"/>
        </w:rPr>
        <w:t>2</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Poskytovateľ súhlasí s tým, že nadobudnutím účinnosti zmeny v osobe poskytovateľa prestáva byť </w:t>
      </w:r>
      <w:r>
        <w:rPr>
          <w:rFonts w:ascii="Cambria" w:hAnsi="Cambria"/>
        </w:rPr>
        <w:t>zmluv</w:t>
      </w:r>
      <w:r w:rsidRPr="00794E6A">
        <w:rPr>
          <w:rFonts w:ascii="Cambria" w:hAnsi="Cambria"/>
        </w:rPr>
        <w:t xml:space="preserve">nou stranou tejto </w:t>
      </w:r>
      <w:r w:rsidR="002F5383">
        <w:rPr>
          <w:rFonts w:ascii="Cambria" w:hAnsi="Cambria"/>
        </w:rPr>
        <w:t>Servisnej zmluvy</w:t>
      </w:r>
      <w:r w:rsidRPr="00794E6A">
        <w:rPr>
          <w:rFonts w:ascii="Cambria" w:hAnsi="Cambria"/>
        </w:rPr>
        <w:t xml:space="preserve"> a </w:t>
      </w:r>
      <w:r>
        <w:rPr>
          <w:rFonts w:ascii="Cambria" w:hAnsi="Cambria"/>
        </w:rPr>
        <w:t>zmluv</w:t>
      </w:r>
      <w:r w:rsidRPr="00794E6A">
        <w:rPr>
          <w:rFonts w:ascii="Cambria" w:hAnsi="Cambria"/>
        </w:rPr>
        <w:t xml:space="preserve">ou stranou tejto </w:t>
      </w:r>
      <w:r w:rsidR="002F5383">
        <w:rPr>
          <w:rFonts w:ascii="Cambria" w:hAnsi="Cambria"/>
        </w:rPr>
        <w:t>Servisnej zmluvy</w:t>
      </w:r>
      <w:r w:rsidRPr="00794E6A">
        <w:rPr>
          <w:rFonts w:ascii="Cambria" w:hAnsi="Cambria"/>
        </w:rPr>
        <w:t xml:space="preserve"> sa stáva Nový poskytovateľ. </w:t>
      </w:r>
    </w:p>
    <w:p w14:paraId="148082B7" w14:textId="52902D92"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Pôvodný poskytovateľ je povinný bezodkladne, najneskôr do 10 pracovných dní od oznámenia objednávateľa za účelom zmeny </w:t>
      </w:r>
      <w:r w:rsidR="002F5383">
        <w:rPr>
          <w:rFonts w:ascii="Cambria" w:hAnsi="Cambria"/>
        </w:rPr>
        <w:t>Servisnej zmluvy</w:t>
      </w:r>
      <w:r w:rsidRPr="00794E6A">
        <w:rPr>
          <w:rFonts w:ascii="Cambria" w:hAnsi="Cambria"/>
        </w:rPr>
        <w:t xml:space="preserve"> podľa bodu </w:t>
      </w:r>
      <w:r w:rsidR="00DC7231">
        <w:rPr>
          <w:rFonts w:ascii="Cambria" w:hAnsi="Cambria"/>
        </w:rPr>
        <w:t>2</w:t>
      </w:r>
      <w:r w:rsidRPr="00794E6A">
        <w:rPr>
          <w:rFonts w:ascii="Cambria" w:hAnsi="Cambria"/>
        </w:rPr>
        <w:t xml:space="preserve"> tohto článku </w:t>
      </w:r>
      <w:r>
        <w:rPr>
          <w:rFonts w:ascii="Cambria" w:hAnsi="Cambria"/>
        </w:rPr>
        <w:t>Zmluv</w:t>
      </w:r>
      <w:r w:rsidRPr="00794E6A">
        <w:rPr>
          <w:rFonts w:ascii="Cambria" w:hAnsi="Cambria"/>
        </w:rPr>
        <w:t xml:space="preserve">y poskytnúť objednávateľovi všetku potrebnú súčinnosť, najmä vykonať úkony, ktoré sú nevyhnutné na riadne plnenie </w:t>
      </w:r>
      <w:r w:rsidR="002F5383">
        <w:rPr>
          <w:rFonts w:ascii="Cambria" w:hAnsi="Cambria"/>
        </w:rPr>
        <w:t>Servisnej zmluvy</w:t>
      </w:r>
      <w:r w:rsidRPr="00794E6A">
        <w:rPr>
          <w:rFonts w:ascii="Cambria" w:hAnsi="Cambria"/>
        </w:rPr>
        <w:t xml:space="preserve"> do okamihu zmeny v osobe poskytovateľa, odovzdať objednávateľovi všetky potrebné informácie a dokumenty v súvislosti s dodaným plnením tak, aby nedošlo k vzniku škody alebo inej ujmy objednávateľovi. </w:t>
      </w:r>
    </w:p>
    <w:p w14:paraId="212374B5" w14:textId="2A571DCF" w:rsidR="004C6199" w:rsidRPr="00794E6A" w:rsidRDefault="004C6199" w:rsidP="009A1370">
      <w:pPr>
        <w:pStyle w:val="ListParagraph"/>
        <w:numPr>
          <w:ilvl w:val="0"/>
          <w:numId w:val="44"/>
        </w:numPr>
        <w:spacing w:after="200"/>
        <w:contextualSpacing w:val="0"/>
        <w:jc w:val="both"/>
        <w:rPr>
          <w:rFonts w:ascii="Cambria" w:hAnsi="Cambria"/>
          <w:sz w:val="20"/>
          <w:szCs w:val="20"/>
        </w:rPr>
      </w:pPr>
      <w:r w:rsidRPr="00794E6A">
        <w:rPr>
          <w:rFonts w:ascii="Cambria" w:hAnsi="Cambria"/>
        </w:rPr>
        <w:t xml:space="preserve">V prípade omeškania Pôvodného poskytovateľa s plnením povinnosti podľa bodu </w:t>
      </w:r>
      <w:r w:rsidR="00DC7231">
        <w:rPr>
          <w:rFonts w:ascii="Cambria" w:hAnsi="Cambria"/>
        </w:rPr>
        <w:t>4</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(neposkytnutie súčinnosti) vzniká objednávateľovi za každý </w:t>
      </w:r>
      <w:r>
        <w:rPr>
          <w:rFonts w:ascii="Cambria" w:hAnsi="Cambria"/>
        </w:rPr>
        <w:t xml:space="preserve">aj </w:t>
      </w:r>
      <w:r w:rsidRPr="00794E6A">
        <w:rPr>
          <w:rFonts w:ascii="Cambria" w:hAnsi="Cambria"/>
        </w:rPr>
        <w:t xml:space="preserve">začatý deň omeškania nárok na zaplatenie </w:t>
      </w:r>
      <w:r w:rsidR="002F5383">
        <w:rPr>
          <w:rFonts w:ascii="Cambria" w:hAnsi="Cambria"/>
        </w:rPr>
        <w:t>z</w:t>
      </w:r>
      <w:r>
        <w:rPr>
          <w:rFonts w:ascii="Cambria" w:hAnsi="Cambria"/>
        </w:rPr>
        <w:t>mluv</w:t>
      </w:r>
      <w:r w:rsidRPr="00794E6A">
        <w:rPr>
          <w:rFonts w:ascii="Cambria" w:hAnsi="Cambria"/>
        </w:rPr>
        <w:t xml:space="preserve">nej pokuty zo strany Pôvodného poskytovateľa vo výške 100 eur (slovom: sto eur). Povinnosť nahradiť škodu vzniknutú v dôsledku porušenia povinnosti zabezpečenej </w:t>
      </w:r>
      <w:r>
        <w:rPr>
          <w:rFonts w:ascii="Cambria" w:hAnsi="Cambria"/>
        </w:rPr>
        <w:t>zmluv</w:t>
      </w:r>
      <w:r w:rsidRPr="00794E6A">
        <w:rPr>
          <w:rFonts w:ascii="Cambria" w:hAnsi="Cambria"/>
        </w:rPr>
        <w:t xml:space="preserve">nou pokutou ostáva zaplatením </w:t>
      </w:r>
      <w:r w:rsidR="002F5383">
        <w:rPr>
          <w:rFonts w:ascii="Cambria" w:hAnsi="Cambria"/>
        </w:rPr>
        <w:t>z</w:t>
      </w:r>
      <w:r>
        <w:rPr>
          <w:rFonts w:ascii="Cambria" w:hAnsi="Cambria"/>
        </w:rPr>
        <w:t>mluv</w:t>
      </w:r>
      <w:r w:rsidRPr="00794E6A">
        <w:rPr>
          <w:rFonts w:ascii="Cambria" w:hAnsi="Cambria"/>
        </w:rPr>
        <w:t xml:space="preserve">nej pokuty nedotknutá, a to aj v rozsahu prevyšujúcom </w:t>
      </w:r>
      <w:r>
        <w:rPr>
          <w:rFonts w:ascii="Cambria" w:hAnsi="Cambria"/>
        </w:rPr>
        <w:t>zmluv</w:t>
      </w:r>
      <w:r w:rsidRPr="00794E6A">
        <w:rPr>
          <w:rFonts w:ascii="Cambria" w:hAnsi="Cambria"/>
        </w:rPr>
        <w:t>nú pokutu.</w:t>
      </w:r>
    </w:p>
    <w:p w14:paraId="7C6CA206" w14:textId="1E013E9B" w:rsidR="009A72A3" w:rsidRPr="00D877C0" w:rsidRDefault="009A72A3" w:rsidP="000D0CD4">
      <w:pPr>
        <w:pStyle w:val="Heading1"/>
        <w:rPr>
          <w:rFonts w:ascii="Cambria" w:hAnsi="Cambria"/>
          <w:sz w:val="22"/>
          <w:szCs w:val="22"/>
        </w:rPr>
      </w:pPr>
      <w:bookmarkStart w:id="11" w:name="_Toc368490349"/>
      <w:bookmarkStart w:id="12" w:name="_Toc368934372"/>
      <w:bookmarkStart w:id="13" w:name="_Hlk103777370"/>
      <w:bookmarkStart w:id="14" w:name="_Hlk104956629"/>
      <w:bookmarkEnd w:id="8"/>
      <w:bookmarkEnd w:id="9"/>
      <w:bookmarkEnd w:id="10"/>
      <w:r w:rsidRPr="00D877C0">
        <w:rPr>
          <w:rFonts w:ascii="Cambria" w:hAnsi="Cambria"/>
          <w:sz w:val="22"/>
          <w:szCs w:val="22"/>
        </w:rPr>
        <w:t xml:space="preserve">Článok </w:t>
      </w:r>
      <w:r w:rsidR="006344AF">
        <w:rPr>
          <w:rFonts w:ascii="Cambria" w:hAnsi="Cambria"/>
          <w:sz w:val="22"/>
          <w:szCs w:val="22"/>
        </w:rPr>
        <w:t>IX</w:t>
      </w:r>
    </w:p>
    <w:bookmarkEnd w:id="11"/>
    <w:bookmarkEnd w:id="12"/>
    <w:p w14:paraId="3A61880B" w14:textId="6F883072"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BodyTextIndent"/>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3"/>
    <w:p w14:paraId="1422FE86" w14:textId="644AA7ED" w:rsidR="00D23334" w:rsidRPr="00230482" w:rsidRDefault="00D23334" w:rsidP="00D65C53">
      <w:pPr>
        <w:pStyle w:val="BodyTextIndent"/>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 xml:space="preserve">tejto </w:t>
      </w:r>
      <w:r w:rsidR="007C6296" w:rsidRPr="00230482">
        <w:rPr>
          <w:rFonts w:ascii="Cambria" w:hAnsi="Cambria"/>
          <w:sz w:val="22"/>
          <w:szCs w:val="22"/>
        </w:rPr>
        <w:lastRenderedPageBreak/>
        <w:t>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30CB852B" w:rsidR="00BE1051" w:rsidRPr="006E79EE" w:rsidRDefault="00BE1051" w:rsidP="00BE1051">
      <w:pPr>
        <w:pStyle w:val="Heading1"/>
        <w:rPr>
          <w:rFonts w:ascii="Cambria" w:hAnsi="Cambria" w:cs="Arial"/>
          <w:sz w:val="22"/>
          <w:szCs w:val="22"/>
        </w:rPr>
      </w:pPr>
      <w:bookmarkStart w:id="15" w:name="_Hlk104956674"/>
      <w:bookmarkEnd w:id="14"/>
      <w:r w:rsidRPr="006E79EE">
        <w:rPr>
          <w:rFonts w:ascii="Cambria" w:hAnsi="Cambria" w:cs="Arial"/>
          <w:sz w:val="22"/>
          <w:szCs w:val="22"/>
        </w:rPr>
        <w:t>Článok X</w:t>
      </w:r>
    </w:p>
    <w:p w14:paraId="452311FA" w14:textId="6EF3E28F" w:rsidR="00BE1051" w:rsidRPr="006E79EE" w:rsidRDefault="00365C26" w:rsidP="00BE1051">
      <w:pPr>
        <w:pStyle w:val="Heading1"/>
        <w:rPr>
          <w:rFonts w:ascii="Cambria" w:hAnsi="Cambria" w:cs="Arial"/>
          <w:sz w:val="22"/>
          <w:szCs w:val="22"/>
        </w:rPr>
      </w:pPr>
      <w:r>
        <w:rPr>
          <w:rFonts w:ascii="Cambria" w:hAnsi="Cambria" w:cs="Arial"/>
          <w:sz w:val="22"/>
          <w:szCs w:val="22"/>
        </w:rPr>
        <w:t>Ochrana</w:t>
      </w:r>
      <w:r w:rsidR="00BE1051" w:rsidRPr="006E79EE">
        <w:rPr>
          <w:rFonts w:ascii="Cambria" w:hAnsi="Cambria" w:cs="Arial"/>
          <w:sz w:val="22"/>
          <w:szCs w:val="22"/>
        </w:rPr>
        <w:t xml:space="preserve"> osobných údajov</w:t>
      </w:r>
    </w:p>
    <w:p w14:paraId="3B8AC153" w14:textId="6A5DF1DF" w:rsidR="005B7D59" w:rsidRDefault="00BE1051" w:rsidP="00BE1051">
      <w:pPr>
        <w:pStyle w:val="BodyTextIndent"/>
        <w:spacing w:before="120" w:after="120"/>
        <w:ind w:left="360" w:firstLine="0"/>
        <w:jc w:val="both"/>
        <w:rPr>
          <w:rFonts w:ascii="Cambria" w:hAnsi="Cambria"/>
          <w:sz w:val="22"/>
          <w:szCs w:val="22"/>
        </w:rPr>
      </w:pPr>
      <w:r w:rsidRPr="006E79EE">
        <w:rPr>
          <w:rFonts w:ascii="Cambria" w:hAnsi="Cambria"/>
          <w:sz w:val="22"/>
          <w:szCs w:val="22"/>
        </w:rPr>
        <w:t>V prípade, ak bude  objednávateľ poskytovať alebo sprístupňovať poskytovateľovi v súvislosti s plnením podľa tejto zmluvy informácie obsahujúce osobné údaje c</w:t>
      </w:r>
      <w:r w:rsidR="00365C26">
        <w:rPr>
          <w:rFonts w:ascii="Cambria" w:hAnsi="Cambria"/>
          <w:sz w:val="22"/>
          <w:szCs w:val="22"/>
        </w:rPr>
        <w:t>hr</w:t>
      </w:r>
      <w:r w:rsidRPr="006E79EE">
        <w:rPr>
          <w:rFonts w:ascii="Cambria" w:hAnsi="Cambria"/>
          <w:sz w:val="22"/>
          <w:szCs w:val="22"/>
        </w:rPr>
        <w:t>ánené v zmysle nariadenia Európskeho parlamentu a rady (EÚ) 2016/679 o oc</w:t>
      </w:r>
      <w:r w:rsidR="00365C26">
        <w:rPr>
          <w:rFonts w:ascii="Cambria" w:hAnsi="Cambria"/>
          <w:sz w:val="22"/>
          <w:szCs w:val="22"/>
        </w:rPr>
        <w:t>hr</w:t>
      </w:r>
      <w:r w:rsidRPr="006E79EE">
        <w:rPr>
          <w:rFonts w:ascii="Cambria" w:hAnsi="Cambria"/>
          <w:sz w:val="22"/>
          <w:szCs w:val="22"/>
        </w:rPr>
        <w:t>ane fyzických osôb pri spracúvaní ich osobných údajov a o voľnom pohybe takýchto údajov, ktorým sa zrušuje smernica 95/46/ES (všeobecné nariadenie o oc</w:t>
      </w:r>
      <w:r w:rsidR="00365C26">
        <w:rPr>
          <w:rFonts w:ascii="Cambria" w:hAnsi="Cambria"/>
          <w:sz w:val="22"/>
          <w:szCs w:val="22"/>
        </w:rPr>
        <w:t>hr</w:t>
      </w:r>
      <w:r w:rsidRPr="006E79EE">
        <w:rPr>
          <w:rFonts w:ascii="Cambria" w:hAnsi="Cambria"/>
          <w:sz w:val="22"/>
          <w:szCs w:val="22"/>
        </w:rPr>
        <w:t>ane údajov) a zákona č. 18/2018 Z. z. o oc</w:t>
      </w:r>
      <w:r w:rsidR="00365C26">
        <w:rPr>
          <w:rFonts w:ascii="Cambria" w:hAnsi="Cambria"/>
          <w:sz w:val="22"/>
          <w:szCs w:val="22"/>
        </w:rPr>
        <w:t>hr</w:t>
      </w:r>
      <w:r w:rsidRPr="006E79EE">
        <w:rPr>
          <w:rFonts w:ascii="Cambria" w:hAnsi="Cambria"/>
          <w:sz w:val="22"/>
          <w:szCs w:val="22"/>
        </w:rPr>
        <w:t xml:space="preserve">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w:t>
      </w:r>
      <w:r w:rsidR="00365C26">
        <w:rPr>
          <w:rFonts w:ascii="Cambria" w:hAnsi="Cambria"/>
          <w:sz w:val="22"/>
          <w:szCs w:val="22"/>
        </w:rPr>
        <w:t>hr</w:t>
      </w:r>
      <w:r w:rsidR="00897AD1">
        <w:rPr>
          <w:rFonts w:ascii="Cambria" w:hAnsi="Cambria"/>
          <w:sz w:val="22"/>
          <w:szCs w:val="22"/>
        </w:rPr>
        <w:t>an</w:t>
      </w:r>
      <w:r w:rsidR="001368B2">
        <w:rPr>
          <w:rFonts w:ascii="Cambria" w:hAnsi="Cambria"/>
          <w:sz w:val="22"/>
          <w:szCs w:val="22"/>
        </w:rPr>
        <w:t>e</w:t>
      </w:r>
      <w:r w:rsidR="00897AD1">
        <w:rPr>
          <w:rFonts w:ascii="Cambria" w:hAnsi="Cambria"/>
          <w:sz w:val="22"/>
          <w:szCs w:val="22"/>
        </w:rPr>
        <w:t xml:space="preserve"> údajov.</w:t>
      </w:r>
    </w:p>
    <w:p w14:paraId="55274FFD" w14:textId="26CBC089" w:rsidR="005B7D59" w:rsidRPr="006E79EE" w:rsidRDefault="005B7D59" w:rsidP="005B7D59">
      <w:pPr>
        <w:pStyle w:val="Heading1"/>
        <w:rPr>
          <w:rFonts w:ascii="Cambria" w:hAnsi="Cambria" w:cs="Arial"/>
          <w:sz w:val="22"/>
          <w:szCs w:val="22"/>
        </w:rPr>
      </w:pPr>
      <w:r w:rsidRPr="006E79EE">
        <w:rPr>
          <w:rFonts w:ascii="Cambria" w:hAnsi="Cambria" w:cs="Arial"/>
          <w:sz w:val="22"/>
          <w:szCs w:val="22"/>
        </w:rPr>
        <w:t>Článok X</w:t>
      </w:r>
      <w:r w:rsidR="006344AF">
        <w:rPr>
          <w:rFonts w:ascii="Cambria" w:hAnsi="Cambria" w:cs="Arial"/>
          <w:sz w:val="22"/>
          <w:szCs w:val="22"/>
        </w:rPr>
        <w:t>I</w:t>
      </w:r>
    </w:p>
    <w:p w14:paraId="603477A6" w14:textId="7812F6C9" w:rsidR="005B7D59" w:rsidRPr="006E79EE" w:rsidRDefault="005B7D59" w:rsidP="00CA79DF">
      <w:pPr>
        <w:pStyle w:val="Heading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BodyTextIndent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2BD4441C" w:rsidR="005B7D59" w:rsidRPr="00794E6A" w:rsidRDefault="005B7D59" w:rsidP="005B7D59">
      <w:pPr>
        <w:pStyle w:val="BodyTextIndent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 xml:space="preserve">ne dohodnuté termíny sa predlžujú o dobu trvania okolností vylučujúcich zodpovednosť (vis </w:t>
      </w:r>
      <w:proofErr w:type="spellStart"/>
      <w:r w:rsidRPr="00794E6A">
        <w:rPr>
          <w:rFonts w:ascii="Cambria" w:hAnsi="Cambria"/>
          <w:sz w:val="22"/>
          <w:szCs w:val="22"/>
        </w:rPr>
        <w:t>maior</w:t>
      </w:r>
      <w:proofErr w:type="spellEnd"/>
      <w:r w:rsidRPr="00794E6A">
        <w:rPr>
          <w:rFonts w:ascii="Cambria" w:hAnsi="Cambria"/>
          <w:sz w:val="22"/>
          <w:szCs w:val="22"/>
        </w:rPr>
        <w:t>).</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r w:rsidR="002765C3">
        <w:rPr>
          <w:rFonts w:ascii="Cambria" w:hAnsi="Cambria"/>
          <w:sz w:val="22"/>
          <w:szCs w:val="22"/>
        </w:rPr>
        <w:t xml:space="preserve"> </w:t>
      </w:r>
      <w:r w:rsidR="002765C3" w:rsidRPr="00096AEC">
        <w:rPr>
          <w:rFonts w:ascii="Cambria" w:hAnsi="Cambria"/>
          <w:sz w:val="22"/>
          <w:szCs w:val="22"/>
        </w:rPr>
        <w:t>Zmluvné strany sa dohodli, že zmluvná strana, voči ktorej sa druhá zmluvná strana dovoláva vyššej moci môže od tejto zmluvy odstúpiť v prípade, ak doba trvania okolností vylučujúcich zodpovednosť presahuje dobu šiestich mesiacov.</w:t>
      </w:r>
    </w:p>
    <w:p w14:paraId="32335119" w14:textId="256307C1" w:rsidR="00177E15" w:rsidRPr="002F644C" w:rsidRDefault="00177E15" w:rsidP="00C3287A">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3E12CB">
        <w:rPr>
          <w:rFonts w:ascii="Cambria" w:hAnsi="Cambria" w:cs="Arial"/>
          <w:sz w:val="22"/>
          <w:szCs w:val="22"/>
        </w:rPr>
        <w:t>I</w:t>
      </w:r>
      <w:r w:rsidR="006344AF">
        <w:rPr>
          <w:rFonts w:ascii="Cambria" w:hAnsi="Cambria" w:cs="Arial"/>
          <w:sz w:val="22"/>
          <w:szCs w:val="22"/>
        </w:rPr>
        <w:t>I</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1F47CF44" w14:textId="11C4EDBD" w:rsidR="00A1217A" w:rsidRPr="00230482" w:rsidRDefault="00A1217A" w:rsidP="007B30EE">
      <w:pPr>
        <w:pStyle w:val="BodyTextIndent"/>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r w:rsidR="00DA0A7E">
        <w:rPr>
          <w:rFonts w:ascii="Cambria" w:hAnsi="Cambria"/>
          <w:sz w:val="22"/>
          <w:szCs w:val="22"/>
        </w:rPr>
        <w:t xml:space="preserve"> </w:t>
      </w:r>
      <w:r w:rsidR="00DA0A7E" w:rsidRPr="00670858">
        <w:rPr>
          <w:rFonts w:ascii="Cambria" w:hAnsi="Cambria"/>
          <w:sz w:val="22"/>
          <w:szCs w:val="22"/>
        </w:rPr>
        <w:t>Odchylné dojednania v Servisnej zmluve majú prednosť pred ustanoveniami uvedenými v všeobecných podmienkach</w:t>
      </w:r>
      <w:r w:rsidR="00DA0A7E">
        <w:rPr>
          <w:rFonts w:ascii="Cambria" w:hAnsi="Cambria"/>
          <w:sz w:val="22"/>
          <w:szCs w:val="22"/>
        </w:rPr>
        <w:t xml:space="preserve"> uvedených v Prílohe č. 1 tejto Servisnej zmluvy.</w:t>
      </w:r>
    </w:p>
    <w:p w14:paraId="5E2AC079" w14:textId="33B0779B" w:rsidR="0070383B" w:rsidRPr="006E79EE" w:rsidRDefault="0070383B" w:rsidP="007B30EE">
      <w:pPr>
        <w:pStyle w:val="BodyTextIndent"/>
        <w:numPr>
          <w:ilvl w:val="0"/>
          <w:numId w:val="36"/>
        </w:numPr>
        <w:spacing w:before="120"/>
        <w:jc w:val="both"/>
        <w:rPr>
          <w:rFonts w:ascii="Cambria" w:hAnsi="Cambria"/>
          <w:sz w:val="22"/>
          <w:szCs w:val="22"/>
        </w:rPr>
      </w:pPr>
      <w:r>
        <w:rPr>
          <w:rFonts w:ascii="Cambria" w:hAnsi="Cambria"/>
          <w:sz w:val="22"/>
          <w:szCs w:val="22"/>
        </w:rPr>
        <w:t xml:space="preserve">Objednávateľ je oprávnený vypovedať poskytovanie Servisných služieb pre </w:t>
      </w:r>
      <w:r w:rsidR="008D3621">
        <w:rPr>
          <w:rFonts w:ascii="Cambria" w:hAnsi="Cambria"/>
          <w:sz w:val="22"/>
          <w:szCs w:val="22"/>
        </w:rPr>
        <w:t xml:space="preserve">systém </w:t>
      </w:r>
      <w:r w:rsidR="00B56EAC">
        <w:rPr>
          <w:rFonts w:ascii="Cambria" w:hAnsi="Cambria"/>
          <w:sz w:val="22"/>
          <w:szCs w:val="22"/>
        </w:rPr>
        <w:t>IS SPÚ</w:t>
      </w:r>
      <w:r>
        <w:rPr>
          <w:rFonts w:ascii="Cambria" w:hAnsi="Cambria"/>
          <w:sz w:val="22"/>
          <w:szCs w:val="22"/>
        </w:rPr>
        <w:t>, a to aj bez uvedenia dôvodu s </w:t>
      </w:r>
      <w:r w:rsidRPr="007B30EE">
        <w:rPr>
          <w:rFonts w:ascii="Cambria" w:hAnsi="Cambria"/>
          <w:sz w:val="22"/>
          <w:szCs w:val="22"/>
        </w:rPr>
        <w:t>trojmesačnou</w:t>
      </w:r>
      <w:r>
        <w:rPr>
          <w:rFonts w:ascii="Cambria" w:hAnsi="Cambria"/>
          <w:sz w:val="22"/>
          <w:szCs w:val="22"/>
        </w:rPr>
        <w:t xml:space="preserve"> výpovednou lehotou, </w:t>
      </w:r>
      <w:r w:rsidRPr="007B30EE">
        <w:rPr>
          <w:rFonts w:ascii="Cambria" w:hAnsi="Cambria"/>
          <w:sz w:val="22"/>
          <w:szCs w:val="22"/>
        </w:rPr>
        <w:t>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r w:rsidR="007B30EE">
        <w:rPr>
          <w:rFonts w:ascii="Cambria" w:hAnsi="Cambria"/>
          <w:sz w:val="22"/>
          <w:szCs w:val="22"/>
        </w:rPr>
        <w:t>.</w:t>
      </w:r>
    </w:p>
    <w:p w14:paraId="3C5613CE" w14:textId="77777777" w:rsidR="003D63CC" w:rsidRPr="00230482" w:rsidRDefault="003D63CC"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BodyTextIndent"/>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lastRenderedPageBreak/>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94D6BBC" w14:textId="635DEDF5" w:rsidR="00B16DDB" w:rsidRPr="00230482" w:rsidRDefault="00B16DDB" w:rsidP="007B30EE">
      <w:pPr>
        <w:pStyle w:val="BodyTextIndent"/>
        <w:numPr>
          <w:ilvl w:val="0"/>
          <w:numId w:val="36"/>
        </w:numPr>
        <w:spacing w:before="120"/>
        <w:jc w:val="both"/>
        <w:rPr>
          <w:rFonts w:ascii="Cambria" w:hAnsi="Cambria"/>
          <w:sz w:val="22"/>
          <w:szCs w:val="22"/>
        </w:rPr>
      </w:pPr>
      <w:r w:rsidRPr="00B16DDB">
        <w:rPr>
          <w:rFonts w:ascii="Cambria" w:hAnsi="Cambria"/>
          <w:sz w:val="22"/>
          <w:szCs w:val="22"/>
        </w:rPr>
        <w:t>V prípade, ak adresát odmietne písomnosť prevziať, za deň doručenia sa považuje deň odmietnutia prevzatia písomnosti. V prípade, ak si adresát neprevezme písomnosť v úložnej lehote na pošte, písomnosť sa považuje za doručenú dňom jej vrátenia odosielateľovi, a to aj vtedy, ak sa adresát o tom nedozvie. V prípade, ak sa písomnosť vráti odosielateľovi s označením pošty „adresát neznámy“ alebo s inou poznámkou podobného významu, za deň doručenia sa považuje deň vrátenia zásielky odosielateľovi</w:t>
      </w:r>
      <w:r w:rsidR="00D50F37">
        <w:rPr>
          <w:rFonts w:ascii="Cambria" w:hAnsi="Cambria"/>
          <w:sz w:val="22"/>
          <w:szCs w:val="22"/>
        </w:rPr>
        <w:t>.</w:t>
      </w:r>
    </w:p>
    <w:p w14:paraId="35835D24" w14:textId="3EC39836"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5A35AA7E"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V prípade, ak sa niektoré ustanovenie tejto Servisnej zmluvy stane neplatným, neúčinným alebo nevykonateľným, nie sú tým dotknuté ostatné ustanovenia tejto Servisnej zmluvy. Príslušné ustanovenie Servisnej zmluvy sa na</w:t>
      </w:r>
      <w:r w:rsidR="00365C26">
        <w:rPr>
          <w:rFonts w:ascii="Cambria" w:hAnsi="Cambria"/>
          <w:sz w:val="22"/>
          <w:szCs w:val="22"/>
        </w:rPr>
        <w:t>hr</w:t>
      </w:r>
      <w:r w:rsidRPr="00230482">
        <w:rPr>
          <w:rFonts w:ascii="Cambria" w:hAnsi="Cambria"/>
          <w:sz w:val="22"/>
          <w:szCs w:val="22"/>
        </w:rPr>
        <w:t xml:space="preserve">adí takým platným a účinným zákonným ustanovením, ktoré je mu svojím významom a účelom najbližšie. </w:t>
      </w:r>
    </w:p>
    <w:p w14:paraId="5860677D" w14:textId="01726CF1"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w:t>
      </w:r>
      <w:r w:rsidR="00365C26">
        <w:rPr>
          <w:rFonts w:ascii="Cambria" w:hAnsi="Cambria"/>
          <w:sz w:val="22"/>
          <w:szCs w:val="22"/>
        </w:rPr>
        <w:t>ochrane</w:t>
      </w:r>
      <w:r w:rsidRPr="00230482">
        <w:rPr>
          <w:rFonts w:ascii="Cambria" w:hAnsi="Cambria"/>
          <w:sz w:val="22"/>
          <w:szCs w:val="22"/>
        </w:rPr>
        <w:t xml:space="preserv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w:t>
      </w:r>
      <w:r w:rsidR="00365C26">
        <w:rPr>
          <w:rFonts w:ascii="Cambria" w:hAnsi="Cambria"/>
          <w:sz w:val="22"/>
          <w:szCs w:val="22"/>
        </w:rPr>
        <w:t>ochrane</w:t>
      </w:r>
      <w:r w:rsidRPr="00230482">
        <w:rPr>
          <w:rFonts w:ascii="Cambria" w:hAnsi="Cambria"/>
          <w:sz w:val="22"/>
          <w:szCs w:val="22"/>
        </w:rPr>
        <w:t xml:space="preserve"> fyzických osôb pri spracúvaní osobných údajov a o voľnom pohybe takýchto údajov, ktorým sa zrušuje smernica 95/46/ES. Informácia o podmienkach spracúvania osobných údajov dotknutých osôb je zverejnená na webovom sídle objednávateľa: </w:t>
      </w:r>
      <w:hyperlink r:id="rId10" w:history="1">
        <w:r w:rsidR="0050413A" w:rsidRPr="00ED6E90">
          <w:rPr>
            <w:rFonts w:ascii="Cambria" w:hAnsi="Cambria"/>
            <w:sz w:val="22"/>
            <w:szCs w:val="22"/>
          </w:rPr>
          <w:t>https://www.nbs.sk/sk/oc</w:t>
        </w:r>
        <w:r w:rsidR="00365C26">
          <w:rPr>
            <w:rFonts w:ascii="Cambria" w:hAnsi="Cambria"/>
            <w:sz w:val="22"/>
            <w:szCs w:val="22"/>
          </w:rPr>
          <w:t>hr</w:t>
        </w:r>
        <w:r w:rsidR="0050413A" w:rsidRPr="00ED6E90">
          <w:rPr>
            <w:rFonts w:ascii="Cambria" w:hAnsi="Cambria"/>
            <w:sz w:val="22"/>
            <w:szCs w:val="22"/>
          </w:rPr>
          <w:t>ana-osobnych-udajov</w:t>
        </w:r>
      </w:hyperlink>
      <w:r w:rsidR="00E113C2" w:rsidRPr="00ED6E90">
        <w:rPr>
          <w:rFonts w:ascii="Cambria" w:hAnsi="Cambria"/>
          <w:sz w:val="22"/>
          <w:szCs w:val="22"/>
        </w:rPr>
        <w:t>.</w:t>
      </w:r>
    </w:p>
    <w:p w14:paraId="056F0D24" w14:textId="75B61E21" w:rsidR="00A44ED9" w:rsidRPr="00230482" w:rsidRDefault="00A44ED9"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lastRenderedPageBreak/>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37A7D6EB" w:rsidR="00E47944"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00C35A41">
        <w:rPr>
          <w:rFonts w:ascii="Cambria" w:hAnsi="Cambria"/>
          <w:sz w:val="22"/>
          <w:szCs w:val="22"/>
        </w:rPr>
        <w:t>berie na vedomie</w:t>
      </w:r>
      <w:r w:rsidRPr="00230482">
        <w:rPr>
          <w:rFonts w:ascii="Cambria" w:hAnsi="Cambria"/>
          <w:sz w:val="22"/>
          <w:szCs w:val="22"/>
        </w:rPr>
        <w:t xml:space="preserve"> zverejnen</w:t>
      </w:r>
      <w:r w:rsidR="00C35A41">
        <w:rPr>
          <w:rFonts w:ascii="Cambria" w:hAnsi="Cambria"/>
          <w:sz w:val="22"/>
          <w:szCs w:val="22"/>
        </w:rPr>
        <w:t>ie</w:t>
      </w:r>
      <w:r w:rsidRPr="00230482">
        <w:rPr>
          <w:rFonts w:ascii="Cambria" w:hAnsi="Cambria"/>
          <w:sz w:val="22"/>
          <w:szCs w:val="22"/>
        </w:rPr>
        <w:t xml:space="preserve">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7B30EE">
        <w:rPr>
          <w:rFonts w:ascii="Cambria" w:hAnsi="Cambria"/>
          <w:sz w:val="22"/>
          <w:szCs w:val="22"/>
        </w:rPr>
        <w:t xml:space="preserve"> </w:t>
      </w:r>
      <w:bookmarkStart w:id="16" w:name="_Hlk125594069"/>
      <w:r w:rsidR="003955AD" w:rsidRPr="007B30EE">
        <w:rPr>
          <w:rFonts w:ascii="Cambria" w:hAnsi="Cambria"/>
          <w:sz w:val="22"/>
          <w:szCs w:val="22"/>
        </w:rPr>
        <w:t>nadobúda účinnosť dňom nasledujúcim po dni jeho zverejnenia na webovom sídle</w:t>
      </w:r>
      <w:r w:rsidR="00343DD1" w:rsidRPr="007B30EE">
        <w:rPr>
          <w:rFonts w:ascii="Cambria" w:hAnsi="Cambria"/>
          <w:sz w:val="22"/>
          <w:szCs w:val="22"/>
        </w:rPr>
        <w:t xml:space="preserve"> (internetovej stránke) </w:t>
      </w:r>
      <w:r w:rsidR="00592912" w:rsidRPr="007B30EE">
        <w:rPr>
          <w:rFonts w:ascii="Cambria" w:hAnsi="Cambria"/>
          <w:sz w:val="22"/>
          <w:szCs w:val="22"/>
        </w:rPr>
        <w:t>objednávateľa</w:t>
      </w:r>
      <w:r w:rsidR="003955AD" w:rsidRPr="007B30EE">
        <w:rPr>
          <w:rFonts w:ascii="Cambria" w:hAnsi="Cambria"/>
          <w:sz w:val="22"/>
          <w:szCs w:val="22"/>
        </w:rPr>
        <w:t xml:space="preserve"> </w:t>
      </w:r>
      <w:bookmarkEnd w:id="16"/>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668C616F" w14:textId="712F016F" w:rsidR="00572F10" w:rsidRPr="00230482" w:rsidRDefault="009B7F81"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BodyTextIndent"/>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5"/>
    <w:p w14:paraId="66C9975C" w14:textId="77777777" w:rsidR="007C763D" w:rsidRPr="00230482" w:rsidRDefault="007C763D" w:rsidP="00BA7B0F">
      <w:pPr>
        <w:spacing w:before="10"/>
        <w:ind w:right="196"/>
        <w:jc w:val="both"/>
        <w:rPr>
          <w:rFonts w:ascii="Cambria" w:hAnsi="Cambria"/>
          <w:sz w:val="22"/>
          <w:szCs w:val="22"/>
        </w:rPr>
      </w:pPr>
    </w:p>
    <w:tbl>
      <w:tblPr>
        <w:tblW w:w="0" w:type="auto"/>
        <w:tblInd w:w="567" w:type="dxa"/>
        <w:tblLook w:val="04A0" w:firstRow="1" w:lastRow="0" w:firstColumn="1" w:lastColumn="0" w:noHBand="0" w:noVBand="1"/>
      </w:tblPr>
      <w:tblGrid>
        <w:gridCol w:w="3652"/>
        <w:gridCol w:w="1701"/>
        <w:gridCol w:w="3368"/>
      </w:tblGrid>
      <w:tr w:rsidR="00E610EF" w:rsidRPr="00CF5B40" w14:paraId="20A69250" w14:textId="77777777" w:rsidTr="00BD1999">
        <w:tc>
          <w:tcPr>
            <w:tcW w:w="3652" w:type="dxa"/>
          </w:tcPr>
          <w:p w14:paraId="46810FFE"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objednávateľa:</w:t>
            </w:r>
          </w:p>
          <w:p w14:paraId="604F5624"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1701" w:type="dxa"/>
          </w:tcPr>
          <w:p w14:paraId="5EA89F3C"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3368" w:type="dxa"/>
          </w:tcPr>
          <w:p w14:paraId="05F199D1"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zhotoviteľa:</w:t>
            </w:r>
          </w:p>
        </w:tc>
      </w:tr>
      <w:tr w:rsidR="00E610EF" w:rsidRPr="00CF5B40" w14:paraId="2CFCF1F0" w14:textId="77777777" w:rsidTr="00BD1999">
        <w:tc>
          <w:tcPr>
            <w:tcW w:w="3652" w:type="dxa"/>
          </w:tcPr>
          <w:p w14:paraId="3147C10F"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spacing w:val="-1"/>
                <w:lang w:eastAsia="sk-SK"/>
              </w:rPr>
              <w:t xml:space="preserve">V Bratislave, dňa </w:t>
            </w:r>
            <w:r w:rsidRPr="00CF5B40">
              <w:rPr>
                <w:rFonts w:ascii="Cambria" w:hAnsi="Cambria" w:cs="Arial"/>
                <w:lang w:eastAsia="sk-SK"/>
              </w:rPr>
              <w:t>..............................</w:t>
            </w:r>
          </w:p>
        </w:tc>
        <w:tc>
          <w:tcPr>
            <w:tcW w:w="1701" w:type="dxa"/>
          </w:tcPr>
          <w:p w14:paraId="28C6268E"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54C1E1B6"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lang w:eastAsia="sk-SK"/>
              </w:rPr>
              <w:t>V</w:t>
            </w:r>
            <w:r w:rsidRPr="00CF5B40">
              <w:rPr>
                <w:rFonts w:ascii="Cambria" w:hAnsi="Cambria" w:cs="Arial"/>
                <w:spacing w:val="-1"/>
                <w:lang w:eastAsia="sk-SK"/>
              </w:rPr>
              <w:t xml:space="preserve"> ................</w:t>
            </w:r>
            <w:r w:rsidRPr="00CF5B40">
              <w:rPr>
                <w:rFonts w:ascii="Cambria" w:hAnsi="Cambria" w:cs="Arial"/>
                <w:lang w:eastAsia="sk-SK"/>
              </w:rPr>
              <w:t>,</w:t>
            </w:r>
            <w:r w:rsidRPr="00CF5B40">
              <w:rPr>
                <w:rFonts w:ascii="Cambria" w:hAnsi="Cambria" w:cs="Arial"/>
                <w:spacing w:val="-3"/>
                <w:lang w:eastAsia="sk-SK"/>
              </w:rPr>
              <w:t xml:space="preserve"> </w:t>
            </w:r>
            <w:r w:rsidRPr="00CF5B40">
              <w:rPr>
                <w:rFonts w:ascii="Cambria" w:hAnsi="Cambria" w:cs="Arial"/>
                <w:lang w:eastAsia="sk-SK"/>
              </w:rPr>
              <w:t>dňa ..............................</w:t>
            </w:r>
          </w:p>
        </w:tc>
      </w:tr>
      <w:tr w:rsidR="00E610EF" w:rsidRPr="00CF5B40" w14:paraId="070DFDB4" w14:textId="77777777" w:rsidTr="00BD1999">
        <w:tc>
          <w:tcPr>
            <w:tcW w:w="3652" w:type="dxa"/>
          </w:tcPr>
          <w:p w14:paraId="7EDA5076"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184DBBA0"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7923AD3B"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68B9B4E8"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375E0784"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2D5327A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cs="Arial"/>
                <w:spacing w:val="-1"/>
                <w:w w:val="95"/>
                <w:lang w:eastAsia="sk-SK"/>
              </w:rPr>
              <w:t>..........................................................................</w:t>
            </w:r>
          </w:p>
          <w:p w14:paraId="6A23E257"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verejný obstarávateľ</w:t>
            </w:r>
            <w:r w:rsidRPr="00CF5B40">
              <w:rPr>
                <w:rFonts w:ascii="Cambria" w:hAnsi="Cambria"/>
                <w:spacing w:val="-4"/>
              </w:rPr>
              <w:t>&gt;</w:t>
            </w:r>
          </w:p>
        </w:tc>
        <w:tc>
          <w:tcPr>
            <w:tcW w:w="1701" w:type="dxa"/>
          </w:tcPr>
          <w:p w14:paraId="7DAF0CCD"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3F8B159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55C7810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1AE584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787CF74D"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D28339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3A4F1F69" w14:textId="77777777" w:rsidR="00E610EF" w:rsidRPr="00CF5B40" w:rsidRDefault="00E610EF" w:rsidP="00901D58">
            <w:pPr>
              <w:tabs>
                <w:tab w:val="left" w:pos="567"/>
                <w:tab w:val="left" w:pos="4365"/>
              </w:tabs>
              <w:kinsoku w:val="0"/>
              <w:overflowPunct w:val="0"/>
              <w:ind w:right="-22"/>
              <w:rPr>
                <w:rFonts w:ascii="Cambria" w:hAnsi="Cambria" w:cs="Arial"/>
                <w:spacing w:val="-1"/>
                <w:w w:val="95"/>
              </w:rPr>
            </w:pPr>
            <w:r w:rsidRPr="00CF5B40">
              <w:rPr>
                <w:rFonts w:ascii="Cambria" w:hAnsi="Cambria" w:cs="Arial"/>
                <w:spacing w:val="-1"/>
                <w:w w:val="95"/>
                <w:lang w:eastAsia="sk-SK"/>
              </w:rPr>
              <w:t>........................................................................</w:t>
            </w:r>
          </w:p>
          <w:p w14:paraId="0874E1F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uchádzač</w:t>
            </w:r>
            <w:r w:rsidRPr="00CF5B40">
              <w:rPr>
                <w:rFonts w:ascii="Cambria" w:hAnsi="Cambria"/>
                <w:spacing w:val="-4"/>
              </w:rPr>
              <w:t>&gt;</w:t>
            </w:r>
          </w:p>
        </w:tc>
      </w:tr>
    </w:tbl>
    <w:p w14:paraId="3167D4FF" w14:textId="58DD8D42" w:rsidR="007E3DFF" w:rsidRPr="00230482" w:rsidRDefault="007E3DFF" w:rsidP="00E610EF">
      <w:pPr>
        <w:spacing w:before="10"/>
        <w:ind w:right="196"/>
        <w:jc w:val="both"/>
        <w:rPr>
          <w:rFonts w:ascii="Cambria" w:hAnsi="Cambria"/>
          <w:sz w:val="22"/>
          <w:szCs w:val="22"/>
        </w:rPr>
      </w:pPr>
    </w:p>
    <w:sectPr w:rsidR="007E3DFF" w:rsidRPr="00230482" w:rsidSect="00912ADE">
      <w:headerReference w:type="default" r:id="rId11"/>
      <w:footerReference w:type="default" r:id="rId12"/>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1EBB" w14:textId="77777777" w:rsidR="00131563" w:rsidRDefault="00131563">
      <w:r>
        <w:separator/>
      </w:r>
    </w:p>
  </w:endnote>
  <w:endnote w:type="continuationSeparator" w:id="0">
    <w:p w14:paraId="54ED5B46" w14:textId="77777777" w:rsidR="00131563" w:rsidRDefault="00131563">
      <w:r>
        <w:continuationSeparator/>
      </w:r>
    </w:p>
  </w:endnote>
  <w:endnote w:type="continuationNotice" w:id="1">
    <w:p w14:paraId="3BFE1499" w14:textId="77777777" w:rsidR="00131563" w:rsidRDefault="0013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81ACF" w14:textId="77777777" w:rsidR="00131563" w:rsidRDefault="00131563">
      <w:r>
        <w:separator/>
      </w:r>
    </w:p>
  </w:footnote>
  <w:footnote w:type="continuationSeparator" w:id="0">
    <w:p w14:paraId="62A1DC5D" w14:textId="77777777" w:rsidR="00131563" w:rsidRDefault="00131563">
      <w:r>
        <w:continuationSeparator/>
      </w:r>
    </w:p>
  </w:footnote>
  <w:footnote w:type="continuationNotice" w:id="1">
    <w:p w14:paraId="046253D7" w14:textId="77777777" w:rsidR="00131563" w:rsidRDefault="0013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6"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7"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AA027B"/>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6"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1"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3"/>
  </w:num>
  <w:num w:numId="2" w16cid:durableId="1070157210">
    <w:abstractNumId w:val="2"/>
  </w:num>
  <w:num w:numId="3" w16cid:durableId="498935286">
    <w:abstractNumId w:val="21"/>
  </w:num>
  <w:num w:numId="4" w16cid:durableId="1697736663">
    <w:abstractNumId w:val="25"/>
  </w:num>
  <w:num w:numId="5" w16cid:durableId="783576445">
    <w:abstractNumId w:val="35"/>
  </w:num>
  <w:num w:numId="6" w16cid:durableId="1710228996">
    <w:abstractNumId w:val="22"/>
  </w:num>
  <w:num w:numId="7" w16cid:durableId="46612862">
    <w:abstractNumId w:val="36"/>
  </w:num>
  <w:num w:numId="8" w16cid:durableId="545261667">
    <w:abstractNumId w:val="4"/>
  </w:num>
  <w:num w:numId="9" w16cid:durableId="486484369">
    <w:abstractNumId w:val="32"/>
  </w:num>
  <w:num w:numId="10" w16cid:durableId="1704013094">
    <w:abstractNumId w:val="39"/>
  </w:num>
  <w:num w:numId="11" w16cid:durableId="1578319214">
    <w:abstractNumId w:val="24"/>
  </w:num>
  <w:num w:numId="12" w16cid:durableId="61490747">
    <w:abstractNumId w:val="18"/>
  </w:num>
  <w:num w:numId="13" w16cid:durableId="1468357572">
    <w:abstractNumId w:val="9"/>
  </w:num>
  <w:num w:numId="14" w16cid:durableId="286546741">
    <w:abstractNumId w:val="14"/>
  </w:num>
  <w:num w:numId="15" w16cid:durableId="909847681">
    <w:abstractNumId w:val="38"/>
  </w:num>
  <w:num w:numId="16" w16cid:durableId="4419255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5"/>
  </w:num>
  <w:num w:numId="19" w16cid:durableId="751199329">
    <w:abstractNumId w:val="7"/>
  </w:num>
  <w:num w:numId="20" w16cid:durableId="157313206">
    <w:abstractNumId w:val="16"/>
  </w:num>
  <w:num w:numId="21" w16cid:durableId="646666409">
    <w:abstractNumId w:val="3"/>
  </w:num>
  <w:num w:numId="22" w16cid:durableId="1595439372">
    <w:abstractNumId w:val="41"/>
  </w:num>
  <w:num w:numId="23" w16cid:durableId="939485181">
    <w:abstractNumId w:val="36"/>
  </w:num>
  <w:num w:numId="24" w16cid:durableId="2035571015">
    <w:abstractNumId w:val="40"/>
  </w:num>
  <w:num w:numId="25" w16cid:durableId="1640113672">
    <w:abstractNumId w:val="0"/>
  </w:num>
  <w:num w:numId="26" w16cid:durableId="1572764406">
    <w:abstractNumId w:val="28"/>
  </w:num>
  <w:num w:numId="27" w16cid:durableId="30031810">
    <w:abstractNumId w:val="1"/>
  </w:num>
  <w:num w:numId="28" w16cid:durableId="2083792978">
    <w:abstractNumId w:val="8"/>
  </w:num>
  <w:num w:numId="29" w16cid:durableId="1913465478">
    <w:abstractNumId w:val="10"/>
  </w:num>
  <w:num w:numId="30" w16cid:durableId="1507667392">
    <w:abstractNumId w:val="19"/>
  </w:num>
  <w:num w:numId="31" w16cid:durableId="2141259039">
    <w:abstractNumId w:val="11"/>
  </w:num>
  <w:num w:numId="32" w16cid:durableId="1256741591">
    <w:abstractNumId w:val="13"/>
  </w:num>
  <w:num w:numId="33" w16cid:durableId="872811732">
    <w:abstractNumId w:val="27"/>
  </w:num>
  <w:num w:numId="34" w16cid:durableId="800075213">
    <w:abstractNumId w:val="31"/>
  </w:num>
  <w:num w:numId="35" w16cid:durableId="782382528">
    <w:abstractNumId w:val="20"/>
  </w:num>
  <w:num w:numId="36" w16cid:durableId="438447570">
    <w:abstractNumId w:val="12"/>
  </w:num>
  <w:num w:numId="37" w16cid:durableId="443311746">
    <w:abstractNumId w:val="29"/>
  </w:num>
  <w:num w:numId="38" w16cid:durableId="2033845040">
    <w:abstractNumId w:val="37"/>
  </w:num>
  <w:num w:numId="39" w16cid:durableId="712533942">
    <w:abstractNumId w:val="6"/>
  </w:num>
  <w:num w:numId="40" w16cid:durableId="1303002954">
    <w:abstractNumId w:val="36"/>
  </w:num>
  <w:num w:numId="41" w16cid:durableId="1215241026">
    <w:abstractNumId w:val="26"/>
  </w:num>
  <w:num w:numId="42" w16cid:durableId="797263276">
    <w:abstractNumId w:val="23"/>
  </w:num>
  <w:num w:numId="43" w16cid:durableId="1894809059">
    <w:abstractNumId w:val="34"/>
  </w:num>
  <w:num w:numId="44" w16cid:durableId="1790274213">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55D"/>
    <w:rsid w:val="0000681B"/>
    <w:rsid w:val="00006F8F"/>
    <w:rsid w:val="00007848"/>
    <w:rsid w:val="00007C6A"/>
    <w:rsid w:val="00007CE1"/>
    <w:rsid w:val="00010CF8"/>
    <w:rsid w:val="000110A6"/>
    <w:rsid w:val="000111F2"/>
    <w:rsid w:val="00011557"/>
    <w:rsid w:val="000118F2"/>
    <w:rsid w:val="00011C6C"/>
    <w:rsid w:val="0001550A"/>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0D12"/>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26DB"/>
    <w:rsid w:val="00063927"/>
    <w:rsid w:val="000656F6"/>
    <w:rsid w:val="0006574D"/>
    <w:rsid w:val="00065C2C"/>
    <w:rsid w:val="00067E10"/>
    <w:rsid w:val="00070678"/>
    <w:rsid w:val="00070B57"/>
    <w:rsid w:val="00071342"/>
    <w:rsid w:val="0007214E"/>
    <w:rsid w:val="00072581"/>
    <w:rsid w:val="0007424A"/>
    <w:rsid w:val="00074F51"/>
    <w:rsid w:val="000763FA"/>
    <w:rsid w:val="00076BD5"/>
    <w:rsid w:val="00076C63"/>
    <w:rsid w:val="00076F72"/>
    <w:rsid w:val="000770BA"/>
    <w:rsid w:val="000774A2"/>
    <w:rsid w:val="00077ADF"/>
    <w:rsid w:val="00080649"/>
    <w:rsid w:val="000811A5"/>
    <w:rsid w:val="00082166"/>
    <w:rsid w:val="000822A6"/>
    <w:rsid w:val="0008285D"/>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A8D"/>
    <w:rsid w:val="000B6E97"/>
    <w:rsid w:val="000B716E"/>
    <w:rsid w:val="000C1921"/>
    <w:rsid w:val="000C1FDE"/>
    <w:rsid w:val="000C242C"/>
    <w:rsid w:val="000C2468"/>
    <w:rsid w:val="000C26F0"/>
    <w:rsid w:val="000C3042"/>
    <w:rsid w:val="000C3D4C"/>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1ADA"/>
    <w:rsid w:val="000D293F"/>
    <w:rsid w:val="000D3797"/>
    <w:rsid w:val="000D3CCF"/>
    <w:rsid w:val="000D3F39"/>
    <w:rsid w:val="000D4753"/>
    <w:rsid w:val="000D62DF"/>
    <w:rsid w:val="000D6883"/>
    <w:rsid w:val="000D69C5"/>
    <w:rsid w:val="000D6E2A"/>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2E75"/>
    <w:rsid w:val="000F521D"/>
    <w:rsid w:val="000F57AB"/>
    <w:rsid w:val="000F60B3"/>
    <w:rsid w:val="000F6139"/>
    <w:rsid w:val="00100813"/>
    <w:rsid w:val="00105429"/>
    <w:rsid w:val="00106F47"/>
    <w:rsid w:val="001076B2"/>
    <w:rsid w:val="001106D1"/>
    <w:rsid w:val="00110D1E"/>
    <w:rsid w:val="001119A3"/>
    <w:rsid w:val="00112A55"/>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47A4F"/>
    <w:rsid w:val="00151652"/>
    <w:rsid w:val="00153351"/>
    <w:rsid w:val="00153870"/>
    <w:rsid w:val="00153A71"/>
    <w:rsid w:val="00154272"/>
    <w:rsid w:val="0015456D"/>
    <w:rsid w:val="001547FB"/>
    <w:rsid w:val="00154CE8"/>
    <w:rsid w:val="00156638"/>
    <w:rsid w:val="001569FD"/>
    <w:rsid w:val="00156BF8"/>
    <w:rsid w:val="00157854"/>
    <w:rsid w:val="00160453"/>
    <w:rsid w:val="00160E76"/>
    <w:rsid w:val="00161C9E"/>
    <w:rsid w:val="00164DBE"/>
    <w:rsid w:val="0016524C"/>
    <w:rsid w:val="00165D8D"/>
    <w:rsid w:val="00166147"/>
    <w:rsid w:val="00167A41"/>
    <w:rsid w:val="00171141"/>
    <w:rsid w:val="00171A66"/>
    <w:rsid w:val="0017262A"/>
    <w:rsid w:val="00173822"/>
    <w:rsid w:val="00174267"/>
    <w:rsid w:val="00174AED"/>
    <w:rsid w:val="00175B3C"/>
    <w:rsid w:val="00175F48"/>
    <w:rsid w:val="00176C5E"/>
    <w:rsid w:val="00176F7A"/>
    <w:rsid w:val="00177E15"/>
    <w:rsid w:val="00180621"/>
    <w:rsid w:val="001806C3"/>
    <w:rsid w:val="001807C6"/>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AB2"/>
    <w:rsid w:val="00196811"/>
    <w:rsid w:val="00197FFC"/>
    <w:rsid w:val="001A1009"/>
    <w:rsid w:val="001A27E3"/>
    <w:rsid w:val="001A2BB8"/>
    <w:rsid w:val="001A41EE"/>
    <w:rsid w:val="001A53B5"/>
    <w:rsid w:val="001A5ED8"/>
    <w:rsid w:val="001A72E6"/>
    <w:rsid w:val="001A7E9A"/>
    <w:rsid w:val="001B141B"/>
    <w:rsid w:val="001B1D56"/>
    <w:rsid w:val="001B1EC2"/>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565A"/>
    <w:rsid w:val="002156E0"/>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0723"/>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12E"/>
    <w:rsid w:val="00275C4B"/>
    <w:rsid w:val="00275CD2"/>
    <w:rsid w:val="002765C3"/>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5617"/>
    <w:rsid w:val="002E5F67"/>
    <w:rsid w:val="002E60A4"/>
    <w:rsid w:val="002E7043"/>
    <w:rsid w:val="002E731B"/>
    <w:rsid w:val="002E76A3"/>
    <w:rsid w:val="002E780A"/>
    <w:rsid w:val="002E799E"/>
    <w:rsid w:val="002F0084"/>
    <w:rsid w:val="002F1917"/>
    <w:rsid w:val="002F1B10"/>
    <w:rsid w:val="002F4592"/>
    <w:rsid w:val="002F4AF8"/>
    <w:rsid w:val="002F5383"/>
    <w:rsid w:val="002F6328"/>
    <w:rsid w:val="002F644C"/>
    <w:rsid w:val="002F6BF3"/>
    <w:rsid w:val="002F6C79"/>
    <w:rsid w:val="00300020"/>
    <w:rsid w:val="003005AD"/>
    <w:rsid w:val="00301237"/>
    <w:rsid w:val="003015D8"/>
    <w:rsid w:val="00301C36"/>
    <w:rsid w:val="003035EF"/>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AE0"/>
    <w:rsid w:val="00332181"/>
    <w:rsid w:val="00332372"/>
    <w:rsid w:val="00332725"/>
    <w:rsid w:val="00332739"/>
    <w:rsid w:val="00332A06"/>
    <w:rsid w:val="00332B31"/>
    <w:rsid w:val="00332DC8"/>
    <w:rsid w:val="003336D8"/>
    <w:rsid w:val="003338BA"/>
    <w:rsid w:val="00333CDF"/>
    <w:rsid w:val="0033538B"/>
    <w:rsid w:val="00336A11"/>
    <w:rsid w:val="00336F27"/>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27E5"/>
    <w:rsid w:val="00362903"/>
    <w:rsid w:val="00362B66"/>
    <w:rsid w:val="003633A7"/>
    <w:rsid w:val="00365061"/>
    <w:rsid w:val="00365C26"/>
    <w:rsid w:val="00365EB9"/>
    <w:rsid w:val="00365F4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304"/>
    <w:rsid w:val="00383F8A"/>
    <w:rsid w:val="00383FCF"/>
    <w:rsid w:val="00386093"/>
    <w:rsid w:val="003864C6"/>
    <w:rsid w:val="00387D6C"/>
    <w:rsid w:val="0039209E"/>
    <w:rsid w:val="003926CD"/>
    <w:rsid w:val="00392FD7"/>
    <w:rsid w:val="003955AD"/>
    <w:rsid w:val="003965A0"/>
    <w:rsid w:val="00397383"/>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A3C"/>
    <w:rsid w:val="003B7AC8"/>
    <w:rsid w:val="003C08BD"/>
    <w:rsid w:val="003C0C02"/>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2CB"/>
    <w:rsid w:val="003E1C12"/>
    <w:rsid w:val="003E212A"/>
    <w:rsid w:val="003E26E3"/>
    <w:rsid w:val="003E3A51"/>
    <w:rsid w:val="003E68E1"/>
    <w:rsid w:val="003F02A5"/>
    <w:rsid w:val="003F1EF6"/>
    <w:rsid w:val="003F2E40"/>
    <w:rsid w:val="003F2F5E"/>
    <w:rsid w:val="003F3CD7"/>
    <w:rsid w:val="003F3D47"/>
    <w:rsid w:val="003F3D92"/>
    <w:rsid w:val="003F60EF"/>
    <w:rsid w:val="003F62B7"/>
    <w:rsid w:val="003F6CAE"/>
    <w:rsid w:val="00400038"/>
    <w:rsid w:val="00402D0D"/>
    <w:rsid w:val="00402F39"/>
    <w:rsid w:val="00403BB0"/>
    <w:rsid w:val="00406A00"/>
    <w:rsid w:val="00406E70"/>
    <w:rsid w:val="00410F8A"/>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6738"/>
    <w:rsid w:val="00427590"/>
    <w:rsid w:val="004319F4"/>
    <w:rsid w:val="004324AB"/>
    <w:rsid w:val="00432DF2"/>
    <w:rsid w:val="00434923"/>
    <w:rsid w:val="0043546F"/>
    <w:rsid w:val="004369C6"/>
    <w:rsid w:val="00437378"/>
    <w:rsid w:val="004412A7"/>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5B69"/>
    <w:rsid w:val="00476000"/>
    <w:rsid w:val="00480B82"/>
    <w:rsid w:val="00481351"/>
    <w:rsid w:val="0048264D"/>
    <w:rsid w:val="0048305B"/>
    <w:rsid w:val="0048464A"/>
    <w:rsid w:val="00484F4F"/>
    <w:rsid w:val="0048616D"/>
    <w:rsid w:val="0049017F"/>
    <w:rsid w:val="00491863"/>
    <w:rsid w:val="004919E5"/>
    <w:rsid w:val="00491F85"/>
    <w:rsid w:val="00494C23"/>
    <w:rsid w:val="00494E97"/>
    <w:rsid w:val="004963E3"/>
    <w:rsid w:val="0049738C"/>
    <w:rsid w:val="004A0926"/>
    <w:rsid w:val="004A1B38"/>
    <w:rsid w:val="004A2142"/>
    <w:rsid w:val="004A3497"/>
    <w:rsid w:val="004A45BD"/>
    <w:rsid w:val="004A46C8"/>
    <w:rsid w:val="004A7B94"/>
    <w:rsid w:val="004B0E23"/>
    <w:rsid w:val="004B135A"/>
    <w:rsid w:val="004B158F"/>
    <w:rsid w:val="004B1676"/>
    <w:rsid w:val="004B21B1"/>
    <w:rsid w:val="004B2478"/>
    <w:rsid w:val="004B2586"/>
    <w:rsid w:val="004B3623"/>
    <w:rsid w:val="004B487D"/>
    <w:rsid w:val="004B56D7"/>
    <w:rsid w:val="004B687B"/>
    <w:rsid w:val="004B6FD9"/>
    <w:rsid w:val="004B7061"/>
    <w:rsid w:val="004C0002"/>
    <w:rsid w:val="004C23F7"/>
    <w:rsid w:val="004C2509"/>
    <w:rsid w:val="004C323C"/>
    <w:rsid w:val="004C4DD6"/>
    <w:rsid w:val="004C4EBE"/>
    <w:rsid w:val="004C4F41"/>
    <w:rsid w:val="004C6199"/>
    <w:rsid w:val="004C6B64"/>
    <w:rsid w:val="004D0211"/>
    <w:rsid w:val="004D04C3"/>
    <w:rsid w:val="004D0BBD"/>
    <w:rsid w:val="004D100A"/>
    <w:rsid w:val="004D112F"/>
    <w:rsid w:val="004D2A72"/>
    <w:rsid w:val="004D2AAE"/>
    <w:rsid w:val="004D358A"/>
    <w:rsid w:val="004D380B"/>
    <w:rsid w:val="004D48C0"/>
    <w:rsid w:val="004D4C2E"/>
    <w:rsid w:val="004D5487"/>
    <w:rsid w:val="004D71D8"/>
    <w:rsid w:val="004D7994"/>
    <w:rsid w:val="004E09C2"/>
    <w:rsid w:val="004E1D46"/>
    <w:rsid w:val="004E2894"/>
    <w:rsid w:val="004E47DA"/>
    <w:rsid w:val="004E54CE"/>
    <w:rsid w:val="004E633A"/>
    <w:rsid w:val="004E759B"/>
    <w:rsid w:val="004F024A"/>
    <w:rsid w:val="004F14F7"/>
    <w:rsid w:val="004F4F0B"/>
    <w:rsid w:val="004F7C6F"/>
    <w:rsid w:val="00500880"/>
    <w:rsid w:val="00500C9A"/>
    <w:rsid w:val="005014C6"/>
    <w:rsid w:val="005014D9"/>
    <w:rsid w:val="0050195A"/>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786"/>
    <w:rsid w:val="005167A1"/>
    <w:rsid w:val="00517D22"/>
    <w:rsid w:val="00520D72"/>
    <w:rsid w:val="00523F4F"/>
    <w:rsid w:val="005247C0"/>
    <w:rsid w:val="00524D9D"/>
    <w:rsid w:val="005250EE"/>
    <w:rsid w:val="00525E00"/>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1B5"/>
    <w:rsid w:val="005456A6"/>
    <w:rsid w:val="00546690"/>
    <w:rsid w:val="005470EA"/>
    <w:rsid w:val="00550C02"/>
    <w:rsid w:val="0055100C"/>
    <w:rsid w:val="00551315"/>
    <w:rsid w:val="00551CA6"/>
    <w:rsid w:val="00554A57"/>
    <w:rsid w:val="00555769"/>
    <w:rsid w:val="00557033"/>
    <w:rsid w:val="005611D3"/>
    <w:rsid w:val="005619A7"/>
    <w:rsid w:val="00562E55"/>
    <w:rsid w:val="00563C07"/>
    <w:rsid w:val="00565AE7"/>
    <w:rsid w:val="00566158"/>
    <w:rsid w:val="00567236"/>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6E20"/>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2D9B"/>
    <w:rsid w:val="005D3B5D"/>
    <w:rsid w:val="005D3DD8"/>
    <w:rsid w:val="005D4C66"/>
    <w:rsid w:val="005D5C9E"/>
    <w:rsid w:val="005D5F77"/>
    <w:rsid w:val="005E0806"/>
    <w:rsid w:val="005E14BA"/>
    <w:rsid w:val="005E26DF"/>
    <w:rsid w:val="005E4DE4"/>
    <w:rsid w:val="005E5490"/>
    <w:rsid w:val="005E5A36"/>
    <w:rsid w:val="005E73A4"/>
    <w:rsid w:val="005E74C8"/>
    <w:rsid w:val="005E7AD2"/>
    <w:rsid w:val="005F0844"/>
    <w:rsid w:val="005F0926"/>
    <w:rsid w:val="005F0BD8"/>
    <w:rsid w:val="005F1E8E"/>
    <w:rsid w:val="005F2C99"/>
    <w:rsid w:val="005F4DC1"/>
    <w:rsid w:val="005F6058"/>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3E72"/>
    <w:rsid w:val="00625363"/>
    <w:rsid w:val="0062571B"/>
    <w:rsid w:val="0062673E"/>
    <w:rsid w:val="00626847"/>
    <w:rsid w:val="00626C8F"/>
    <w:rsid w:val="00630162"/>
    <w:rsid w:val="00630334"/>
    <w:rsid w:val="00630C68"/>
    <w:rsid w:val="00631612"/>
    <w:rsid w:val="006323D6"/>
    <w:rsid w:val="006341D3"/>
    <w:rsid w:val="006344AF"/>
    <w:rsid w:val="00634CCF"/>
    <w:rsid w:val="006352E0"/>
    <w:rsid w:val="00635869"/>
    <w:rsid w:val="00635F1B"/>
    <w:rsid w:val="0063634F"/>
    <w:rsid w:val="00637589"/>
    <w:rsid w:val="00637D29"/>
    <w:rsid w:val="006407CB"/>
    <w:rsid w:val="006446E1"/>
    <w:rsid w:val="0064584F"/>
    <w:rsid w:val="006461EC"/>
    <w:rsid w:val="00646D8B"/>
    <w:rsid w:val="006529AD"/>
    <w:rsid w:val="006530DA"/>
    <w:rsid w:val="00661BB0"/>
    <w:rsid w:val="00662E72"/>
    <w:rsid w:val="00664B07"/>
    <w:rsid w:val="00664CB7"/>
    <w:rsid w:val="00670198"/>
    <w:rsid w:val="00671E72"/>
    <w:rsid w:val="00672C50"/>
    <w:rsid w:val="0067352E"/>
    <w:rsid w:val="0067409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1833"/>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3D31"/>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4244"/>
    <w:rsid w:val="007751B2"/>
    <w:rsid w:val="007753B4"/>
    <w:rsid w:val="00775431"/>
    <w:rsid w:val="0077609F"/>
    <w:rsid w:val="0077694D"/>
    <w:rsid w:val="00776CB3"/>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12E"/>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461"/>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07FE"/>
    <w:rsid w:val="0080313B"/>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B8E"/>
    <w:rsid w:val="00872F3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C4C"/>
    <w:rsid w:val="00892D26"/>
    <w:rsid w:val="00893281"/>
    <w:rsid w:val="00894618"/>
    <w:rsid w:val="00894705"/>
    <w:rsid w:val="008949A0"/>
    <w:rsid w:val="008952E0"/>
    <w:rsid w:val="00896268"/>
    <w:rsid w:val="008971B1"/>
    <w:rsid w:val="00897828"/>
    <w:rsid w:val="00897AD1"/>
    <w:rsid w:val="008A0270"/>
    <w:rsid w:val="008A04A2"/>
    <w:rsid w:val="008A0A36"/>
    <w:rsid w:val="008A3885"/>
    <w:rsid w:val="008A3ABB"/>
    <w:rsid w:val="008A46A1"/>
    <w:rsid w:val="008A67E6"/>
    <w:rsid w:val="008A6D8C"/>
    <w:rsid w:val="008A7BB4"/>
    <w:rsid w:val="008B0AD9"/>
    <w:rsid w:val="008B0C0F"/>
    <w:rsid w:val="008B176E"/>
    <w:rsid w:val="008B2CC0"/>
    <w:rsid w:val="008B2F0F"/>
    <w:rsid w:val="008B2F1E"/>
    <w:rsid w:val="008B3CC5"/>
    <w:rsid w:val="008B3D16"/>
    <w:rsid w:val="008B41D4"/>
    <w:rsid w:val="008B463C"/>
    <w:rsid w:val="008B50E1"/>
    <w:rsid w:val="008B5424"/>
    <w:rsid w:val="008B5654"/>
    <w:rsid w:val="008B62EE"/>
    <w:rsid w:val="008B63F9"/>
    <w:rsid w:val="008B79C5"/>
    <w:rsid w:val="008C19C3"/>
    <w:rsid w:val="008C2675"/>
    <w:rsid w:val="008C2A3A"/>
    <w:rsid w:val="008C2BD8"/>
    <w:rsid w:val="008C3249"/>
    <w:rsid w:val="008C3596"/>
    <w:rsid w:val="008C58DB"/>
    <w:rsid w:val="008C66AF"/>
    <w:rsid w:val="008C7B3E"/>
    <w:rsid w:val="008D0186"/>
    <w:rsid w:val="008D0217"/>
    <w:rsid w:val="008D1484"/>
    <w:rsid w:val="008D2AB6"/>
    <w:rsid w:val="008D2F14"/>
    <w:rsid w:val="008D3621"/>
    <w:rsid w:val="008D3C88"/>
    <w:rsid w:val="008D44A9"/>
    <w:rsid w:val="008D51A8"/>
    <w:rsid w:val="008D56BE"/>
    <w:rsid w:val="008D59A5"/>
    <w:rsid w:val="008D6308"/>
    <w:rsid w:val="008D6D6A"/>
    <w:rsid w:val="008D6D70"/>
    <w:rsid w:val="008D704B"/>
    <w:rsid w:val="008D7C6F"/>
    <w:rsid w:val="008E04A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1D58"/>
    <w:rsid w:val="00902A10"/>
    <w:rsid w:val="00903C4A"/>
    <w:rsid w:val="0090449D"/>
    <w:rsid w:val="00905305"/>
    <w:rsid w:val="009053E2"/>
    <w:rsid w:val="0090589F"/>
    <w:rsid w:val="00906957"/>
    <w:rsid w:val="00910898"/>
    <w:rsid w:val="00911A0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B84"/>
    <w:rsid w:val="009272FA"/>
    <w:rsid w:val="00927835"/>
    <w:rsid w:val="009301AE"/>
    <w:rsid w:val="00930DBC"/>
    <w:rsid w:val="0093168F"/>
    <w:rsid w:val="00931A32"/>
    <w:rsid w:val="00932BAA"/>
    <w:rsid w:val="00933F3A"/>
    <w:rsid w:val="0093515A"/>
    <w:rsid w:val="00935206"/>
    <w:rsid w:val="00937B65"/>
    <w:rsid w:val="00940D4D"/>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74B"/>
    <w:rsid w:val="00957A31"/>
    <w:rsid w:val="00960B5C"/>
    <w:rsid w:val="00960B94"/>
    <w:rsid w:val="009618B8"/>
    <w:rsid w:val="00961AE5"/>
    <w:rsid w:val="009620A4"/>
    <w:rsid w:val="00963A2F"/>
    <w:rsid w:val="0096541D"/>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370"/>
    <w:rsid w:val="009A14AF"/>
    <w:rsid w:val="009A1D06"/>
    <w:rsid w:val="009A1E50"/>
    <w:rsid w:val="009A1EBF"/>
    <w:rsid w:val="009A2973"/>
    <w:rsid w:val="009A30FC"/>
    <w:rsid w:val="009A3A30"/>
    <w:rsid w:val="009A493B"/>
    <w:rsid w:val="009A4C53"/>
    <w:rsid w:val="009A5049"/>
    <w:rsid w:val="009A575C"/>
    <w:rsid w:val="009A5F28"/>
    <w:rsid w:val="009A609B"/>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94B"/>
    <w:rsid w:val="009C4F0E"/>
    <w:rsid w:val="009C5112"/>
    <w:rsid w:val="009C5526"/>
    <w:rsid w:val="009C6335"/>
    <w:rsid w:val="009C74BD"/>
    <w:rsid w:val="009C788C"/>
    <w:rsid w:val="009C7D34"/>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20EF"/>
    <w:rsid w:val="009F3AD6"/>
    <w:rsid w:val="009F7160"/>
    <w:rsid w:val="00A00D9A"/>
    <w:rsid w:val="00A015AB"/>
    <w:rsid w:val="00A018C2"/>
    <w:rsid w:val="00A01A91"/>
    <w:rsid w:val="00A023EC"/>
    <w:rsid w:val="00A02B45"/>
    <w:rsid w:val="00A04B84"/>
    <w:rsid w:val="00A05511"/>
    <w:rsid w:val="00A05BC1"/>
    <w:rsid w:val="00A065B6"/>
    <w:rsid w:val="00A066AD"/>
    <w:rsid w:val="00A06EB2"/>
    <w:rsid w:val="00A07DB2"/>
    <w:rsid w:val="00A10F5B"/>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13D"/>
    <w:rsid w:val="00A22313"/>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0CF0"/>
    <w:rsid w:val="00A417A4"/>
    <w:rsid w:val="00A421B7"/>
    <w:rsid w:val="00A42463"/>
    <w:rsid w:val="00A42538"/>
    <w:rsid w:val="00A42A83"/>
    <w:rsid w:val="00A437AF"/>
    <w:rsid w:val="00A43B7D"/>
    <w:rsid w:val="00A43CF2"/>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349"/>
    <w:rsid w:val="00A70D75"/>
    <w:rsid w:val="00A71419"/>
    <w:rsid w:val="00A71787"/>
    <w:rsid w:val="00A71DEE"/>
    <w:rsid w:val="00A736C5"/>
    <w:rsid w:val="00A73E5A"/>
    <w:rsid w:val="00A74ADA"/>
    <w:rsid w:val="00A7643B"/>
    <w:rsid w:val="00A77195"/>
    <w:rsid w:val="00A776F9"/>
    <w:rsid w:val="00A77F46"/>
    <w:rsid w:val="00A80881"/>
    <w:rsid w:val="00A824D9"/>
    <w:rsid w:val="00A82E38"/>
    <w:rsid w:val="00A84D3C"/>
    <w:rsid w:val="00A85091"/>
    <w:rsid w:val="00A85D8C"/>
    <w:rsid w:val="00A860A4"/>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2B08"/>
    <w:rsid w:val="00AA3BB4"/>
    <w:rsid w:val="00AA4707"/>
    <w:rsid w:val="00AA4A35"/>
    <w:rsid w:val="00AA6500"/>
    <w:rsid w:val="00AA722A"/>
    <w:rsid w:val="00AB0A0B"/>
    <w:rsid w:val="00AB28C1"/>
    <w:rsid w:val="00AB4B7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C83"/>
    <w:rsid w:val="00B10D1D"/>
    <w:rsid w:val="00B126B5"/>
    <w:rsid w:val="00B133CA"/>
    <w:rsid w:val="00B141EA"/>
    <w:rsid w:val="00B14818"/>
    <w:rsid w:val="00B15374"/>
    <w:rsid w:val="00B16DDB"/>
    <w:rsid w:val="00B17AA0"/>
    <w:rsid w:val="00B21D85"/>
    <w:rsid w:val="00B22BA2"/>
    <w:rsid w:val="00B23BE7"/>
    <w:rsid w:val="00B24764"/>
    <w:rsid w:val="00B25302"/>
    <w:rsid w:val="00B27077"/>
    <w:rsid w:val="00B27670"/>
    <w:rsid w:val="00B303DB"/>
    <w:rsid w:val="00B30926"/>
    <w:rsid w:val="00B3097C"/>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28CE"/>
    <w:rsid w:val="00B54930"/>
    <w:rsid w:val="00B54B3D"/>
    <w:rsid w:val="00B559A6"/>
    <w:rsid w:val="00B56EAC"/>
    <w:rsid w:val="00B56ED2"/>
    <w:rsid w:val="00B617B4"/>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9"/>
    <w:rsid w:val="00B85E97"/>
    <w:rsid w:val="00B86462"/>
    <w:rsid w:val="00B86E23"/>
    <w:rsid w:val="00B87BCB"/>
    <w:rsid w:val="00B914C2"/>
    <w:rsid w:val="00B91ECD"/>
    <w:rsid w:val="00B92C6C"/>
    <w:rsid w:val="00B92DBC"/>
    <w:rsid w:val="00B93E1C"/>
    <w:rsid w:val="00B9521E"/>
    <w:rsid w:val="00B95D91"/>
    <w:rsid w:val="00B96DD7"/>
    <w:rsid w:val="00B96F89"/>
    <w:rsid w:val="00B97408"/>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970"/>
    <w:rsid w:val="00BC1D59"/>
    <w:rsid w:val="00BC2405"/>
    <w:rsid w:val="00BC320D"/>
    <w:rsid w:val="00BC44DD"/>
    <w:rsid w:val="00BC49B0"/>
    <w:rsid w:val="00BC4A75"/>
    <w:rsid w:val="00BC4C25"/>
    <w:rsid w:val="00BC70FA"/>
    <w:rsid w:val="00BD035C"/>
    <w:rsid w:val="00BD0A3F"/>
    <w:rsid w:val="00BD0F93"/>
    <w:rsid w:val="00BD17A7"/>
    <w:rsid w:val="00BD1AB8"/>
    <w:rsid w:val="00BD31D5"/>
    <w:rsid w:val="00BD497A"/>
    <w:rsid w:val="00BD59FA"/>
    <w:rsid w:val="00BD5D06"/>
    <w:rsid w:val="00BE095F"/>
    <w:rsid w:val="00BE1051"/>
    <w:rsid w:val="00BE171A"/>
    <w:rsid w:val="00BE1796"/>
    <w:rsid w:val="00BE1E17"/>
    <w:rsid w:val="00BE26D7"/>
    <w:rsid w:val="00BE3853"/>
    <w:rsid w:val="00BE38E4"/>
    <w:rsid w:val="00BE419A"/>
    <w:rsid w:val="00BE45B0"/>
    <w:rsid w:val="00BE4660"/>
    <w:rsid w:val="00BE5E3B"/>
    <w:rsid w:val="00BE5E48"/>
    <w:rsid w:val="00BE76D7"/>
    <w:rsid w:val="00BE774E"/>
    <w:rsid w:val="00BE7B11"/>
    <w:rsid w:val="00BF05F5"/>
    <w:rsid w:val="00BF499A"/>
    <w:rsid w:val="00BF4D4E"/>
    <w:rsid w:val="00BF6454"/>
    <w:rsid w:val="00BF672F"/>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BBA"/>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27C62"/>
    <w:rsid w:val="00C3153F"/>
    <w:rsid w:val="00C31D86"/>
    <w:rsid w:val="00C3287A"/>
    <w:rsid w:val="00C32E38"/>
    <w:rsid w:val="00C332E5"/>
    <w:rsid w:val="00C33ABE"/>
    <w:rsid w:val="00C34510"/>
    <w:rsid w:val="00C34CA9"/>
    <w:rsid w:val="00C35412"/>
    <w:rsid w:val="00C357B9"/>
    <w:rsid w:val="00C35A41"/>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0FB6"/>
    <w:rsid w:val="00C61787"/>
    <w:rsid w:val="00C626C8"/>
    <w:rsid w:val="00C62CF0"/>
    <w:rsid w:val="00C62E12"/>
    <w:rsid w:val="00C63320"/>
    <w:rsid w:val="00C645F2"/>
    <w:rsid w:val="00C65863"/>
    <w:rsid w:val="00C666B9"/>
    <w:rsid w:val="00C66A2A"/>
    <w:rsid w:val="00C66AF5"/>
    <w:rsid w:val="00C66ED1"/>
    <w:rsid w:val="00C70864"/>
    <w:rsid w:val="00C7155F"/>
    <w:rsid w:val="00C71843"/>
    <w:rsid w:val="00C71888"/>
    <w:rsid w:val="00C72A7E"/>
    <w:rsid w:val="00C72C32"/>
    <w:rsid w:val="00C74032"/>
    <w:rsid w:val="00C76000"/>
    <w:rsid w:val="00C762F5"/>
    <w:rsid w:val="00C76F3D"/>
    <w:rsid w:val="00C8051B"/>
    <w:rsid w:val="00C80720"/>
    <w:rsid w:val="00C81524"/>
    <w:rsid w:val="00C824BA"/>
    <w:rsid w:val="00C82A32"/>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028"/>
    <w:rsid w:val="00CB0259"/>
    <w:rsid w:val="00CB32B0"/>
    <w:rsid w:val="00CB3DFF"/>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2494"/>
    <w:rsid w:val="00CF268E"/>
    <w:rsid w:val="00CF3D54"/>
    <w:rsid w:val="00CF43CF"/>
    <w:rsid w:val="00CF4ECF"/>
    <w:rsid w:val="00CF5FCA"/>
    <w:rsid w:val="00CF66D4"/>
    <w:rsid w:val="00CF6A62"/>
    <w:rsid w:val="00CF6BDE"/>
    <w:rsid w:val="00CF7AA5"/>
    <w:rsid w:val="00CF7BE9"/>
    <w:rsid w:val="00D00998"/>
    <w:rsid w:val="00D00D01"/>
    <w:rsid w:val="00D0160F"/>
    <w:rsid w:val="00D01B9C"/>
    <w:rsid w:val="00D02893"/>
    <w:rsid w:val="00D0337C"/>
    <w:rsid w:val="00D05762"/>
    <w:rsid w:val="00D0600C"/>
    <w:rsid w:val="00D07871"/>
    <w:rsid w:val="00D10FEA"/>
    <w:rsid w:val="00D116C3"/>
    <w:rsid w:val="00D12399"/>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394"/>
    <w:rsid w:val="00D314C4"/>
    <w:rsid w:val="00D3212F"/>
    <w:rsid w:val="00D33200"/>
    <w:rsid w:val="00D33BA6"/>
    <w:rsid w:val="00D358EF"/>
    <w:rsid w:val="00D359B3"/>
    <w:rsid w:val="00D35D27"/>
    <w:rsid w:val="00D36B58"/>
    <w:rsid w:val="00D37C41"/>
    <w:rsid w:val="00D37F55"/>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240E"/>
    <w:rsid w:val="00D73189"/>
    <w:rsid w:val="00D73291"/>
    <w:rsid w:val="00D74805"/>
    <w:rsid w:val="00D758B5"/>
    <w:rsid w:val="00D761EB"/>
    <w:rsid w:val="00D768FE"/>
    <w:rsid w:val="00D80E70"/>
    <w:rsid w:val="00D814F1"/>
    <w:rsid w:val="00D81717"/>
    <w:rsid w:val="00D81CF5"/>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100"/>
    <w:rsid w:val="00D97F30"/>
    <w:rsid w:val="00DA0A7E"/>
    <w:rsid w:val="00DA0C98"/>
    <w:rsid w:val="00DA0F90"/>
    <w:rsid w:val="00DA1824"/>
    <w:rsid w:val="00DA19A7"/>
    <w:rsid w:val="00DA212F"/>
    <w:rsid w:val="00DA2A5C"/>
    <w:rsid w:val="00DA2DFA"/>
    <w:rsid w:val="00DA3640"/>
    <w:rsid w:val="00DA3855"/>
    <w:rsid w:val="00DA3A4B"/>
    <w:rsid w:val="00DA401C"/>
    <w:rsid w:val="00DA41A8"/>
    <w:rsid w:val="00DA54F0"/>
    <w:rsid w:val="00DA5C38"/>
    <w:rsid w:val="00DA61D2"/>
    <w:rsid w:val="00DA633D"/>
    <w:rsid w:val="00DA6F06"/>
    <w:rsid w:val="00DB024A"/>
    <w:rsid w:val="00DB156A"/>
    <w:rsid w:val="00DB168F"/>
    <w:rsid w:val="00DB178F"/>
    <w:rsid w:val="00DB1BF2"/>
    <w:rsid w:val="00DB26C0"/>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C7231"/>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F0107"/>
    <w:rsid w:val="00DF0983"/>
    <w:rsid w:val="00DF0BE9"/>
    <w:rsid w:val="00DF1591"/>
    <w:rsid w:val="00DF1637"/>
    <w:rsid w:val="00DF20A3"/>
    <w:rsid w:val="00DF2A3E"/>
    <w:rsid w:val="00DF5BAD"/>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2DE6"/>
    <w:rsid w:val="00E23107"/>
    <w:rsid w:val="00E232F3"/>
    <w:rsid w:val="00E25734"/>
    <w:rsid w:val="00E2586A"/>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1B8"/>
    <w:rsid w:val="00E50272"/>
    <w:rsid w:val="00E51799"/>
    <w:rsid w:val="00E52A2F"/>
    <w:rsid w:val="00E52AD6"/>
    <w:rsid w:val="00E52CCB"/>
    <w:rsid w:val="00E52D19"/>
    <w:rsid w:val="00E53B6C"/>
    <w:rsid w:val="00E548BE"/>
    <w:rsid w:val="00E54A32"/>
    <w:rsid w:val="00E56590"/>
    <w:rsid w:val="00E600EB"/>
    <w:rsid w:val="00E6075A"/>
    <w:rsid w:val="00E610EF"/>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28FF"/>
    <w:rsid w:val="00E82906"/>
    <w:rsid w:val="00E82A89"/>
    <w:rsid w:val="00E83376"/>
    <w:rsid w:val="00E83674"/>
    <w:rsid w:val="00E83C86"/>
    <w:rsid w:val="00E8408A"/>
    <w:rsid w:val="00E84BBD"/>
    <w:rsid w:val="00E85376"/>
    <w:rsid w:val="00E85C23"/>
    <w:rsid w:val="00E86BDD"/>
    <w:rsid w:val="00E90F07"/>
    <w:rsid w:val="00E91E22"/>
    <w:rsid w:val="00E9439B"/>
    <w:rsid w:val="00E94723"/>
    <w:rsid w:val="00E94AFA"/>
    <w:rsid w:val="00E96708"/>
    <w:rsid w:val="00EA0452"/>
    <w:rsid w:val="00EA12B6"/>
    <w:rsid w:val="00EA1864"/>
    <w:rsid w:val="00EA2365"/>
    <w:rsid w:val="00EA2DD2"/>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40A"/>
    <w:rsid w:val="00EC5562"/>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51D"/>
    <w:rsid w:val="00EF3C60"/>
    <w:rsid w:val="00EF4465"/>
    <w:rsid w:val="00EF5508"/>
    <w:rsid w:val="00F007B0"/>
    <w:rsid w:val="00F00C7B"/>
    <w:rsid w:val="00F00FA0"/>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F17"/>
    <w:rsid w:val="00F207CA"/>
    <w:rsid w:val="00F20EE2"/>
    <w:rsid w:val="00F21C99"/>
    <w:rsid w:val="00F229BE"/>
    <w:rsid w:val="00F231CB"/>
    <w:rsid w:val="00F2395F"/>
    <w:rsid w:val="00F242B4"/>
    <w:rsid w:val="00F24341"/>
    <w:rsid w:val="00F2640E"/>
    <w:rsid w:val="00F26D0B"/>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325"/>
    <w:rsid w:val="00F54C7E"/>
    <w:rsid w:val="00F55178"/>
    <w:rsid w:val="00F5525D"/>
    <w:rsid w:val="00F55F23"/>
    <w:rsid w:val="00F562E9"/>
    <w:rsid w:val="00F57935"/>
    <w:rsid w:val="00F6131C"/>
    <w:rsid w:val="00F61D22"/>
    <w:rsid w:val="00F6394A"/>
    <w:rsid w:val="00F63F77"/>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87E5D"/>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1E2C4F67-13CE-46BA-B943-C38A52A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table" w:styleId="TableGrid">
    <w:name w:val="Table Grid"/>
    <w:basedOn w:val="TableNormal"/>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4C6199"/>
    <w:pPr>
      <w:overflowPunct w:val="0"/>
      <w:autoSpaceDE w:val="0"/>
      <w:autoSpaceDN w:val="0"/>
      <w:adjustRightInd w:val="0"/>
      <w:jc w:val="both"/>
      <w:textAlignment w:val="baseline"/>
    </w:pPr>
    <w:rPr>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bs.sk/sk/ochrana-osobnych-udajov" TargetMode="External"/><Relationship Id="rId4" Type="http://schemas.openxmlformats.org/officeDocument/2006/relationships/settings" Target="settings.xml"/><Relationship Id="rId9" Type="http://schemas.openxmlformats.org/officeDocument/2006/relationships/hyperlink" Target="http://ec.europa.eu/eurost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4987</Words>
  <Characters>28431</Characters>
  <Application>Microsoft Office Word</Application>
  <DocSecurity>0</DocSecurity>
  <Lines>236</Lines>
  <Paragraphs>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33352</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NBS;Karol</dc:creator>
  <cp:keywords/>
  <dc:description/>
  <cp:lastModifiedBy>Ivančík Karol</cp:lastModifiedBy>
  <cp:revision>2</cp:revision>
  <cp:lastPrinted>2025-03-25T14:25:00Z</cp:lastPrinted>
  <dcterms:created xsi:type="dcterms:W3CDTF">2025-07-22T14:57:00Z</dcterms:created>
  <dcterms:modified xsi:type="dcterms:W3CDTF">2025-07-22T14:57:00Z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_dlc_DocIdItemGuid">
    <vt:lpwstr>ca4fa7e0-dc91-48f3-a70b-0feaac57ff55</vt:lpwstr>
  </property>
</Properties>
</file>