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40E" w14:textId="5E71ABBC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7C2159">
        <w:rPr>
          <w:i/>
          <w:highlight w:val="yellow"/>
        </w:rPr>
        <w:t>Specifikace Předmětu plnění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49D63F49" w:rsidR="003F0D6C" w:rsidRDefault="003F0D6C" w:rsidP="004D0DE1"/>
    <w:p w14:paraId="3B46B441" w14:textId="77777777" w:rsidR="005817F5" w:rsidRPr="00A202B0" w:rsidRDefault="005817F5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09EB9AA5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9306DC">
              <w:rPr>
                <w:b/>
                <w:caps/>
                <w:sz w:val="24"/>
                <w:szCs w:val="24"/>
              </w:rPr>
              <w:t>15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 xml:space="preserve">h </w:t>
            </w:r>
            <w:proofErr w:type="gramStart"/>
            <w:r w:rsidR="00730687" w:rsidRPr="00A202B0">
              <w:rPr>
                <w:i/>
                <w:highlight w:val="yellow"/>
              </w:rPr>
              <w:t>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2E98505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proofErr w:type="gramStart"/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proofErr w:type="spellStart"/>
            <w:r w:rsidR="00DA4B74">
              <w:rPr>
                <w:rFonts w:asciiTheme="minorHAnsi" w:hAnsiTheme="minorHAnsi" w:cstheme="minorHAnsi"/>
                <w:sz w:val="20"/>
                <w:szCs w:val="20"/>
              </w:rPr>
              <w:t>slim</w:t>
            </w:r>
            <w:proofErr w:type="spellEnd"/>
            <w:proofErr w:type="gramEnd"/>
            <w:r w:rsidR="00DA4B7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72081" w14:textId="39876AB9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velikost 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 xml:space="preserve"> 30</w:t>
            </w:r>
            <w:proofErr w:type="gramEnd"/>
            <w:r w:rsidR="00DA4B74">
              <w:rPr>
                <w:rFonts w:asciiTheme="minorHAnsi" w:hAnsiTheme="minorHAnsi" w:cstheme="minorHAnsi"/>
                <w:sz w:val="20"/>
                <w:szCs w:val="20"/>
              </w:rPr>
              <w:t>x9,5x29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50B7AE0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2x USB 3.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>2 z toho 1x USB C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4F46F046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40152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8" w:history="1">
              <w:r w:rsidR="009154A8" w:rsidRPr="003D6C81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Procesor podporuje vzdálený managment </w:t>
            </w:r>
            <w:proofErr w:type="spellStart"/>
            <w:r w:rsidR="009154A8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414BBB86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DDR5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MT/s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0B82CDE8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7C35" w:rsidRPr="00907C3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B53B790" w:rsidR="006F41EB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optické mechaniky</w:t>
            </w:r>
            <w:r w:rsidR="001036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15858F7F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3161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4B8BDECB" w:rsidR="006F41EB" w:rsidRPr="0098102B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USB 3.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98102B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proofErr w:type="gramStart"/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1.4a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HDMI, 1x RJ45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68204AB1" w:rsidR="006F41EB" w:rsidRPr="0098102B" w:rsidRDefault="00C77C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DDR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spellEnd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Start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>PCle</w:t>
            </w:r>
            <w:proofErr w:type="spellEnd"/>
            <w:proofErr w:type="gramEnd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x16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Gen3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2x x1 Gen3</w:t>
            </w:r>
            <w:r w:rsidR="0015605A" w:rsidRPr="009810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1BCD121F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proofErr w:type="gramStart"/>
            <w:r w:rsidRPr="00A202B0">
              <w:rPr>
                <w:b/>
                <w:caps/>
                <w:sz w:val="24"/>
                <w:szCs w:val="24"/>
              </w:rPr>
              <w:t>část  t</w:t>
            </w:r>
            <w:proofErr w:type="gramEnd"/>
            <w:r w:rsidRPr="00A202B0">
              <w:rPr>
                <w:b/>
                <w:caps/>
                <w:sz w:val="24"/>
                <w:szCs w:val="24"/>
              </w:rPr>
              <w:t>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2F03999B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3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proofErr w:type="gramStart"/>
            <w:r w:rsidRPr="00A202B0">
              <w:rPr>
                <w:i/>
                <w:highlight w:val="yellow"/>
              </w:rPr>
              <w:t>monitorů 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38289538" w:rsidR="004B7E3F" w:rsidRPr="00FF3779" w:rsidRDefault="009306D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66779656" w:rsidR="004B7E3F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07F14AE2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0B50F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2 ;</w:t>
            </w:r>
            <w:proofErr w:type="gram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+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EE3C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EE3CAA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EE3CAA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4B7E3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 w:rsidRPr="00EE3CAA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6A646F43" w:rsidR="004E6FAD" w:rsidRDefault="004B7E3F" w:rsidP="00050C5C">
      <w: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  <w:gridCol w:w="1089"/>
        <w:gridCol w:w="2739"/>
        <w:gridCol w:w="441"/>
        <w:gridCol w:w="586"/>
        <w:gridCol w:w="2965"/>
      </w:tblGrid>
      <w:tr w:rsidR="00EC5176" w:rsidRPr="00A202B0" w14:paraId="28170365" w14:textId="77777777" w:rsidTr="008D4037">
        <w:trPr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250ED75C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4568B7AB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D5AED64" w14:textId="76CC2473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  <w:proofErr w:type="gramStart"/>
            <w:r w:rsidRPr="00A202B0">
              <w:rPr>
                <w:b/>
                <w:caps/>
                <w:sz w:val="24"/>
                <w:szCs w:val="24"/>
              </w:rPr>
              <w:t>část  t</w:t>
            </w:r>
            <w:proofErr w:type="gramEnd"/>
            <w:r>
              <w:rPr>
                <w:b/>
                <w:caps/>
                <w:sz w:val="24"/>
                <w:szCs w:val="24"/>
              </w:rPr>
              <w:t>3</w:t>
            </w:r>
          </w:p>
          <w:p w14:paraId="0452001B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DAB910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9FA8FED" w14:textId="68B318C8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8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FB0EB9"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7C704D43" w14:textId="77777777" w:rsidR="00EC5176" w:rsidRPr="00A202B0" w:rsidRDefault="00EC5176" w:rsidP="008D4037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50FF31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6D5B04BE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57D1D64C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proofErr w:type="gramStart"/>
            <w:r w:rsidRPr="00A202B0">
              <w:rPr>
                <w:i/>
                <w:highlight w:val="yellow"/>
              </w:rPr>
              <w:t>monitorů 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C5176" w:rsidRPr="00A202B0" w14:paraId="48BC09B3" w14:textId="77777777" w:rsidTr="008D4037">
        <w:tc>
          <w:tcPr>
            <w:tcW w:w="2321" w:type="dxa"/>
            <w:gridSpan w:val="2"/>
            <w:shd w:val="clear" w:color="auto" w:fill="D6E3BC" w:themeFill="accent3" w:themeFillTint="66"/>
          </w:tcPr>
          <w:p w14:paraId="15E9EEBE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4A78B994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14743258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EC5176" w:rsidRPr="00A202B0" w14:paraId="2D20580F" w14:textId="77777777" w:rsidTr="008D4037">
        <w:tc>
          <w:tcPr>
            <w:tcW w:w="2321" w:type="dxa"/>
            <w:gridSpan w:val="2"/>
          </w:tcPr>
          <w:p w14:paraId="70CCE68D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7FB596D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468E4C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matný, IPS</w:t>
            </w:r>
          </w:p>
        </w:tc>
        <w:tc>
          <w:tcPr>
            <w:tcW w:w="2965" w:type="dxa"/>
          </w:tcPr>
          <w:p w14:paraId="771CF64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</w:t>
            </w:r>
          </w:p>
        </w:tc>
      </w:tr>
      <w:tr w:rsidR="00EC5176" w:rsidRPr="00A202B0" w14:paraId="195C29A5" w14:textId="77777777" w:rsidTr="008D4037">
        <w:tc>
          <w:tcPr>
            <w:tcW w:w="2321" w:type="dxa"/>
            <w:gridSpan w:val="2"/>
          </w:tcPr>
          <w:p w14:paraId="4CDF0A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23AA20F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0BE5B9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31CCD03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3B3D5DC" w14:textId="77777777" w:rsidTr="008D4037">
        <w:tc>
          <w:tcPr>
            <w:tcW w:w="2321" w:type="dxa"/>
            <w:gridSpan w:val="2"/>
          </w:tcPr>
          <w:p w14:paraId="7FB64EB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FF7CAE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2EFD5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15B8F5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D8344F4" w14:textId="77777777" w:rsidTr="008D4037">
        <w:tc>
          <w:tcPr>
            <w:tcW w:w="2321" w:type="dxa"/>
            <w:gridSpan w:val="2"/>
          </w:tcPr>
          <w:p w14:paraId="552057D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 palcích:</w:t>
            </w:r>
          </w:p>
          <w:p w14:paraId="54D714A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A3FDE99" w14:textId="07597D3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65" w:type="dxa"/>
          </w:tcPr>
          <w:p w14:paraId="5F4B798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2A820D6" w14:textId="77777777" w:rsidTr="008D4037">
        <w:tc>
          <w:tcPr>
            <w:tcW w:w="2321" w:type="dxa"/>
            <w:gridSpan w:val="2"/>
          </w:tcPr>
          <w:p w14:paraId="5FF934F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76717F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B3A4184" w14:textId="7D69326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cd/m2</w:t>
            </w:r>
          </w:p>
        </w:tc>
        <w:tc>
          <w:tcPr>
            <w:tcW w:w="2965" w:type="dxa"/>
          </w:tcPr>
          <w:p w14:paraId="04F052E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5FE4865E" w14:textId="77777777" w:rsidTr="008D4037">
        <w:tc>
          <w:tcPr>
            <w:tcW w:w="2321" w:type="dxa"/>
            <w:gridSpan w:val="2"/>
          </w:tcPr>
          <w:p w14:paraId="570073D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47686DC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C490686" w14:textId="3A34E892" w:rsidR="00EC5176" w:rsidRPr="00FF3779" w:rsidRDefault="00107A4E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EC5176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688C0D3B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140A198" w14:textId="77777777" w:rsidTr="008D4037">
        <w:tc>
          <w:tcPr>
            <w:tcW w:w="2321" w:type="dxa"/>
            <w:gridSpan w:val="2"/>
          </w:tcPr>
          <w:p w14:paraId="5D03C09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7400C8D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257B01" w14:textId="312A58E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01ECB74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193A342" w14:textId="77777777" w:rsidTr="008D4037">
        <w:tc>
          <w:tcPr>
            <w:tcW w:w="2321" w:type="dxa"/>
            <w:gridSpan w:val="2"/>
          </w:tcPr>
          <w:p w14:paraId="57842CE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04BB348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1CDA984D" w14:textId="1ACAF026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11281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1.2 ;</w:t>
            </w:r>
            <w:proofErr w:type="gram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 +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118E7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AFF223F" w14:textId="77777777" w:rsidTr="008D4037">
        <w:tc>
          <w:tcPr>
            <w:tcW w:w="2321" w:type="dxa"/>
            <w:gridSpan w:val="2"/>
          </w:tcPr>
          <w:p w14:paraId="17EAD2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26A0029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38F7F5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1314AB5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24B91466" w14:textId="77777777" w:rsidTr="008D4037">
        <w:trPr>
          <w:trHeight w:val="287"/>
        </w:trPr>
        <w:tc>
          <w:tcPr>
            <w:tcW w:w="2321" w:type="dxa"/>
            <w:gridSpan w:val="2"/>
          </w:tcPr>
          <w:p w14:paraId="48D1905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2A9B686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01B2A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Stojan s možností nastavení výšky, otočení, naklonění a natočení a s vestavěným vedením kabelů</w:t>
            </w:r>
          </w:p>
          <w:p w14:paraId="072F8C1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461DCC2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002EF6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CB02256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B505B9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04D632C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měsíců. Odstranění závady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výměnou za jiný kus</w:t>
            </w:r>
          </w:p>
        </w:tc>
        <w:tc>
          <w:tcPr>
            <w:tcW w:w="2965" w:type="dxa"/>
          </w:tcPr>
          <w:p w14:paraId="2866D96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880AA5D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5C21FAC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1E9DC33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555D2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2B14985D" w14:textId="77777777" w:rsidR="00EC5176" w:rsidRDefault="00EC5176" w:rsidP="00EC5176">
      <w:r>
        <w:br w:type="textWrapping" w:clear="all"/>
      </w:r>
    </w:p>
    <w:p w14:paraId="2A0D4C29" w14:textId="47373B54" w:rsidR="00EC5176" w:rsidRPr="00A202B0" w:rsidRDefault="00EC5176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4742AA98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EC5176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1A8F1455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107A4E">
              <w:rPr>
                <w:b/>
                <w:caps/>
                <w:sz w:val="24"/>
                <w:szCs w:val="24"/>
              </w:rPr>
              <w:t>2</w:t>
            </w:r>
            <w:r w:rsidR="00107A4E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="009F2675" w:rsidRPr="00A202B0">
              <w:rPr>
                <w:b/>
                <w:caps/>
                <w:sz w:val="24"/>
                <w:szCs w:val="24"/>
              </w:rPr>
              <w:t>kus</w:t>
            </w:r>
            <w:r w:rsidR="00FE439F">
              <w:rPr>
                <w:b/>
                <w:caps/>
                <w:sz w:val="24"/>
                <w:szCs w:val="24"/>
              </w:rPr>
              <w:t>y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</w:t>
            </w:r>
            <w:proofErr w:type="gramStart"/>
            <w:r w:rsidR="00B36F9D">
              <w:rPr>
                <w:i/>
                <w:highlight w:val="yellow"/>
              </w:rPr>
              <w:t xml:space="preserve">notebooků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19CABD03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>1920x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DE2B28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DE2B28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57EAC9CE" w:rsidR="004B7E3F" w:rsidRPr="00DE2B28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B36F9D" w:rsidRPr="00DE2B2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24881 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9" w:history="1">
              <w:r w:rsidR="00107A4E" w:rsidRPr="00DE2B2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. Procesor 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podporuje vzdálený managment </w:t>
            </w:r>
            <w:proofErr w:type="spellStart"/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070B0C72" w14:textId="00FD3509" w:rsidR="004B7E3F" w:rsidRPr="00DE2B28" w:rsidRDefault="004B7E3F" w:rsidP="004044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[doplní </w:t>
            </w:r>
            <w:r w:rsidR="009A009C"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účastník</w:t>
            </w: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674A17DA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7467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MT/s LPDDR5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3174E5E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1TB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typu SSD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="00107A4E"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C5176"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5F684F7B" w:rsidR="004E3D34" w:rsidRPr="00A00877" w:rsidRDefault="00107A4E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Samostatná min. </w:t>
            </w:r>
            <w:proofErr w:type="gramStart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8GB</w:t>
            </w:r>
            <w:proofErr w:type="gramEnd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DDR6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, výkon podle </w:t>
            </w:r>
            <w:proofErr w:type="spellStart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skóre </w:t>
            </w:r>
            <w:r w:rsidR="00DE117E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15187 </w:t>
            </w:r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A00877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DE2B28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2E4712F8" w:rsidR="00560924" w:rsidRPr="00DE2B28" w:rsidRDefault="00EC5176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117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8823A2" w14:textId="57CEB8BC" w:rsidR="00560924" w:rsidRPr="00DE2B28" w:rsidRDefault="00560924" w:rsidP="00560924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0EAC17E5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081A5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346B933B" w:rsidR="00C94A77" w:rsidRPr="006741B9" w:rsidRDefault="00081A52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268EE5EA" w:rsidR="00C94A77" w:rsidRPr="006741B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</w:t>
            </w:r>
            <w:proofErr w:type="spellEnd"/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,3</w:t>
            </w:r>
            <w:r w:rsidR="0033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7F38" w:rsidRPr="006741B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19E91D28" w:rsidR="00C94A77" w:rsidRPr="006741B9" w:rsidRDefault="00081A52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 TB4 USB C porty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možnostií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čtečka paměťových karet, HDMI</w:t>
            </w:r>
            <w:r w:rsidR="00BB0684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</w:t>
            </w:r>
            <w:r w:rsidR="00A90AC6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23D6D914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klávesnice, </w:t>
            </w:r>
            <w:r w:rsidR="00781AA1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proofErr w:type="gramEnd"/>
            <w:r w:rsidR="00781AA1">
              <w:rPr>
                <w:rFonts w:asciiTheme="minorHAnsi" w:hAnsiTheme="minorHAnsi" w:cstheme="minorHAnsi"/>
                <w:sz w:val="20"/>
                <w:szCs w:val="20"/>
              </w:rPr>
              <w:t> ochranou proti prolití.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6F1F9F52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krytkou</w:t>
            </w:r>
            <w:r w:rsidR="0056697E" w:rsidRPr="00FF3779">
              <w:rPr>
                <w:rFonts w:asciiTheme="minorHAnsi" w:hAnsiTheme="minorHAnsi" w:cstheme="minorHAnsi"/>
                <w:sz w:val="20"/>
                <w:szCs w:val="20"/>
              </w:rPr>
              <w:t>, čtečka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0509E4F5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2B2FF624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ní linky musí být dostupná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75D1B791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29E167E3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</w:t>
            </w:r>
            <w:r w:rsidR="007C167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2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[obchodní značka a označení nabízených dokovacích </w:t>
            </w:r>
            <w:proofErr w:type="gramStart"/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stanic - doplní</w:t>
            </w:r>
            <w:proofErr w:type="gramEnd"/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30003CE4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zařízení v části T</w:t>
            </w:r>
            <w:r>
              <w:rPr>
                <w:sz w:val="20"/>
                <w:szCs w:val="20"/>
              </w:rPr>
              <w:t>4</w:t>
            </w:r>
            <w:r w:rsidR="0042783C">
              <w:rPr>
                <w:sz w:val="20"/>
                <w:szCs w:val="20"/>
              </w:rPr>
              <w:t xml:space="preserve"> a T6</w:t>
            </w:r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63ACBAF9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HDMI, </w:t>
            </w:r>
            <w:proofErr w:type="spellStart"/>
            <w:r w:rsidRPr="00246351">
              <w:rPr>
                <w:sz w:val="20"/>
                <w:szCs w:val="20"/>
              </w:rPr>
              <w:t>2x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DisplayPort</w:t>
            </w:r>
            <w:proofErr w:type="spellEnd"/>
            <w:r w:rsidRPr="00246351">
              <w:rPr>
                <w:sz w:val="20"/>
                <w:szCs w:val="20"/>
              </w:rPr>
              <w:t xml:space="preserve">,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RJ</w:t>
            </w:r>
            <w:proofErr w:type="spellEnd"/>
            <w:r w:rsidRPr="00246351">
              <w:rPr>
                <w:sz w:val="20"/>
                <w:szCs w:val="20"/>
              </w:rPr>
              <w:t xml:space="preserve">-45, </w:t>
            </w:r>
            <w:proofErr w:type="spellStart"/>
            <w:r w:rsidR="00781AA1">
              <w:rPr>
                <w:sz w:val="20"/>
                <w:szCs w:val="20"/>
              </w:rPr>
              <w:t>4</w:t>
            </w:r>
            <w:r w:rsidR="00781AA1" w:rsidRPr="00246351">
              <w:rPr>
                <w:sz w:val="20"/>
                <w:szCs w:val="20"/>
              </w:rPr>
              <w:t>x</w:t>
            </w:r>
            <w:proofErr w:type="spellEnd"/>
            <w:r w:rsidR="00781AA1" w:rsidRPr="00246351">
              <w:rPr>
                <w:sz w:val="20"/>
                <w:szCs w:val="20"/>
              </w:rPr>
              <w:t xml:space="preserve"> </w:t>
            </w:r>
            <w:r w:rsidRPr="00246351">
              <w:rPr>
                <w:sz w:val="20"/>
                <w:szCs w:val="20"/>
              </w:rPr>
              <w:t>USB 3.</w:t>
            </w:r>
            <w:r w:rsidR="00781AA1">
              <w:rPr>
                <w:sz w:val="20"/>
                <w:szCs w:val="20"/>
              </w:rPr>
              <w:t>2 A</w:t>
            </w:r>
            <w:r w:rsidRPr="00246351">
              <w:rPr>
                <w:sz w:val="20"/>
                <w:szCs w:val="20"/>
              </w:rPr>
              <w:t xml:space="preserve">, </w:t>
            </w:r>
            <w:r w:rsidR="00781AA1">
              <w:rPr>
                <w:sz w:val="20"/>
                <w:szCs w:val="20"/>
              </w:rPr>
              <w:t>1</w:t>
            </w:r>
            <w:r w:rsidR="00781AA1" w:rsidRPr="00246351">
              <w:rPr>
                <w:sz w:val="20"/>
                <w:szCs w:val="20"/>
              </w:rPr>
              <w:t xml:space="preserve">x </w:t>
            </w:r>
            <w:r w:rsidRPr="00246351">
              <w:rPr>
                <w:sz w:val="20"/>
                <w:szCs w:val="20"/>
              </w:rPr>
              <w:t xml:space="preserve">USB typ C, </w:t>
            </w:r>
            <w:r>
              <w:rPr>
                <w:sz w:val="20"/>
                <w:szCs w:val="20"/>
              </w:rPr>
              <w:t>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Min. </w:t>
            </w:r>
            <w:r w:rsidR="0026562B" w:rsidRPr="001B4A0C">
              <w:rPr>
                <w:sz w:val="20"/>
                <w:szCs w:val="20"/>
              </w:rPr>
              <w:t>60</w:t>
            </w:r>
            <w:r w:rsidRPr="001B4A0C"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2303DF92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0"/>
        <w:gridCol w:w="746"/>
        <w:gridCol w:w="104"/>
        <w:gridCol w:w="3016"/>
      </w:tblGrid>
      <w:tr w:rsidR="003E2121" w:rsidRPr="00A202B0" w14:paraId="37DCA121" w14:textId="77777777" w:rsidTr="00156516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1380D1B" w14:textId="1C3F10C4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FE439F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B859E" w14:textId="3F14C11E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Notebook (10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822032D" w14:textId="77777777" w:rsidR="003E2121" w:rsidRPr="00A202B0" w:rsidRDefault="003E2121" w:rsidP="00156516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E083BA" w14:textId="77777777" w:rsidR="003E2121" w:rsidRDefault="003E2121" w:rsidP="00156516">
            <w:pPr>
              <w:rPr>
                <w:i/>
                <w:highlight w:val="yellow"/>
              </w:rPr>
            </w:pPr>
          </w:p>
          <w:p w14:paraId="1F2A611F" w14:textId="77777777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 xml:space="preserve">ých </w:t>
            </w:r>
            <w:proofErr w:type="gramStart"/>
            <w:r>
              <w:rPr>
                <w:i/>
                <w:highlight w:val="yellow"/>
              </w:rPr>
              <w:t xml:space="preserve">notebooků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3E2121" w:rsidRPr="00FF3779" w14:paraId="39497916" w14:textId="77777777" w:rsidTr="00156516">
        <w:tc>
          <w:tcPr>
            <w:tcW w:w="2319" w:type="dxa"/>
            <w:gridSpan w:val="2"/>
            <w:shd w:val="clear" w:color="auto" w:fill="D6E3BC" w:themeFill="accent3" w:themeFillTint="66"/>
          </w:tcPr>
          <w:p w14:paraId="261E31AD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6F6486A6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7E8E6F1C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3E2121" w:rsidRPr="00FF3779" w14:paraId="10BCE998" w14:textId="77777777" w:rsidTr="00156516">
        <w:tc>
          <w:tcPr>
            <w:tcW w:w="2319" w:type="dxa"/>
            <w:gridSpan w:val="2"/>
          </w:tcPr>
          <w:p w14:paraId="52B71AD5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558D2F0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452DF1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LCD,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 1920x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1A4629C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D5BE6AD" w14:textId="77777777" w:rsidTr="00156516">
        <w:tc>
          <w:tcPr>
            <w:tcW w:w="2319" w:type="dxa"/>
            <w:gridSpan w:val="2"/>
          </w:tcPr>
          <w:p w14:paraId="3A5A383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322AB70C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BBD1BE1" w14:textId="7A8F705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minimálním </w:t>
            </w:r>
            <w:r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skóre </w:t>
            </w:r>
            <w:r w:rsidR="0021337F" w:rsidRPr="00D472B0">
              <w:rPr>
                <w:rFonts w:asciiTheme="minorHAnsi" w:hAnsiTheme="minorHAnsi" w:cstheme="minorHAnsi"/>
                <w:sz w:val="20"/>
                <w:szCs w:val="20"/>
              </w:rPr>
              <w:t>17600</w:t>
            </w:r>
            <w:r w:rsidR="00D47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proofErr w:type="spellStart"/>
            <w:r>
              <w:fldChar w:fldCharType="begin"/>
            </w:r>
            <w:r>
              <w:instrText>HYPERLINK "http://www.cpubenchmark.net"</w:instrText>
            </w:r>
            <w:r>
              <w:fldChar w:fldCharType="separate"/>
            </w:r>
            <w:r w:rsidRPr="008036F5">
              <w:rPr>
                <w:rStyle w:val="Hypertextovodkaz"/>
                <w:rFonts w:asciiTheme="minorHAnsi" w:hAnsiTheme="minorHAnsi" w:cstheme="minorHAnsi"/>
                <w:sz w:val="20"/>
                <w:szCs w:val="20"/>
              </w:rPr>
              <w:t>www.cpubenchmark.net</w:t>
            </w:r>
            <w:proofErr w:type="spellEnd"/>
            <w:r>
              <w:fldChar w:fldCharType="end"/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Procesor podporuje vzdálený managment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10E35C6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B48D526" w14:textId="77777777" w:rsidTr="00156516">
        <w:tc>
          <w:tcPr>
            <w:tcW w:w="2319" w:type="dxa"/>
            <w:gridSpan w:val="2"/>
          </w:tcPr>
          <w:p w14:paraId="49AD7B3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1F5C3337" w14:textId="7791FFFD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GB,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MT/s DDR5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 využití obou kanálů</w:t>
            </w:r>
          </w:p>
        </w:tc>
        <w:tc>
          <w:tcPr>
            <w:tcW w:w="3020" w:type="dxa"/>
          </w:tcPr>
          <w:p w14:paraId="2F2576B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1AD8627A" w14:textId="77777777" w:rsidTr="00156516">
        <w:tc>
          <w:tcPr>
            <w:tcW w:w="2319" w:type="dxa"/>
            <w:gridSpan w:val="2"/>
          </w:tcPr>
          <w:p w14:paraId="4425FE4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0097C93A" w14:textId="7689A4DA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proofErr w:type="gram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512GB</w:t>
            </w:r>
            <w:proofErr w:type="gram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5A0F5FBB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9E16500" w14:textId="77777777" w:rsidTr="00156516">
        <w:tc>
          <w:tcPr>
            <w:tcW w:w="2319" w:type="dxa"/>
            <w:gridSpan w:val="2"/>
          </w:tcPr>
          <w:p w14:paraId="7A46A39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02FE6CFD" w14:textId="2C415CEC" w:rsidR="00A00877" w:rsidRPr="00FF3779" w:rsidRDefault="00D437BE" w:rsidP="00A0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</w:p>
          <w:p w14:paraId="75A7E213" w14:textId="12D4BC64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498EDA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B8053CF" w14:textId="77777777" w:rsidTr="00156516">
        <w:tc>
          <w:tcPr>
            <w:tcW w:w="2319" w:type="dxa"/>
            <w:gridSpan w:val="2"/>
          </w:tcPr>
          <w:p w14:paraId="16EC823A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0A4C9AA7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37D5B942" w14:textId="1A525546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6E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56697E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30E27C" w14:textId="20307BAC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14:paraId="776D69CA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6AA2DAF" w14:textId="77777777" w:rsidTr="00156516">
        <w:tc>
          <w:tcPr>
            <w:tcW w:w="2319" w:type="dxa"/>
            <w:gridSpan w:val="2"/>
          </w:tcPr>
          <w:p w14:paraId="451BF58E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5CA81BC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383DACC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Professional CZ 64-bit </w:t>
            </w:r>
          </w:p>
        </w:tc>
        <w:tc>
          <w:tcPr>
            <w:tcW w:w="3020" w:type="dxa"/>
          </w:tcPr>
          <w:p w14:paraId="311A3D3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69678530" w14:textId="77777777" w:rsidTr="00156516">
        <w:tc>
          <w:tcPr>
            <w:tcW w:w="2319" w:type="dxa"/>
            <w:gridSpan w:val="2"/>
          </w:tcPr>
          <w:p w14:paraId="59A764D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05D49D3F" w14:textId="18E1A66E" w:rsidR="003E2121" w:rsidRPr="006741B9" w:rsidRDefault="00D437BE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</w:p>
        </w:tc>
        <w:tc>
          <w:tcPr>
            <w:tcW w:w="3020" w:type="dxa"/>
          </w:tcPr>
          <w:p w14:paraId="48A12725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0F18EDD" w14:textId="77777777" w:rsidTr="00156516">
        <w:tc>
          <w:tcPr>
            <w:tcW w:w="2319" w:type="dxa"/>
            <w:gridSpan w:val="2"/>
          </w:tcPr>
          <w:p w14:paraId="436D7EF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5AACC596" w14:textId="77777777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Maximálně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3020" w:type="dxa"/>
          </w:tcPr>
          <w:p w14:paraId="3124EF0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1CC1B47" w14:textId="77777777" w:rsidTr="00156516">
        <w:tc>
          <w:tcPr>
            <w:tcW w:w="2319" w:type="dxa"/>
            <w:gridSpan w:val="2"/>
          </w:tcPr>
          <w:p w14:paraId="7E02B98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49938891" w14:textId="32068D0F" w:rsidR="003E2121" w:rsidRPr="006741B9" w:rsidRDefault="0021337F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B0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>TB4</w:t>
            </w:r>
            <w:proofErr w:type="spellEnd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USB C porty s </w:t>
            </w:r>
            <w:r w:rsidR="00E563B5" w:rsidRPr="00D472B0">
              <w:rPr>
                <w:rFonts w:asciiTheme="minorHAnsi" w:hAnsiTheme="minorHAnsi" w:cstheme="minorHAnsi"/>
                <w:sz w:val="20"/>
                <w:szCs w:val="20"/>
              </w:rPr>
              <w:t>možností</w:t>
            </w:r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čtečka paměťových karet, HDMI 2.1, kombinovaný konektor typu </w:t>
            </w:r>
            <w:proofErr w:type="spellStart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pro sluchátka a mikrofon, slot na zámek.</w:t>
            </w:r>
            <w:r w:rsidR="0056697E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USB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A port je možno řešit originální redukcí z USB C</w:t>
            </w:r>
          </w:p>
        </w:tc>
        <w:tc>
          <w:tcPr>
            <w:tcW w:w="3020" w:type="dxa"/>
          </w:tcPr>
          <w:p w14:paraId="3BEB0282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D0593CD" w14:textId="77777777" w:rsidTr="00156516">
        <w:tc>
          <w:tcPr>
            <w:tcW w:w="2319" w:type="dxa"/>
            <w:gridSpan w:val="2"/>
          </w:tcPr>
          <w:p w14:paraId="4E3F5BC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6FB05A6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ochranou proti prolití.</w:t>
            </w:r>
          </w:p>
        </w:tc>
        <w:tc>
          <w:tcPr>
            <w:tcW w:w="3020" w:type="dxa"/>
          </w:tcPr>
          <w:p w14:paraId="5B88DFFB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1C6BE88" w14:textId="77777777" w:rsidTr="00156516">
        <w:tc>
          <w:tcPr>
            <w:tcW w:w="2319" w:type="dxa"/>
            <w:gridSpan w:val="2"/>
          </w:tcPr>
          <w:p w14:paraId="4A03DD5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5013FA" w14:textId="0DD9BD5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krytkou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čtečka otisku prstů. </w:t>
            </w:r>
          </w:p>
        </w:tc>
        <w:tc>
          <w:tcPr>
            <w:tcW w:w="3020" w:type="dxa"/>
          </w:tcPr>
          <w:p w14:paraId="481B1378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05C5CA7" w14:textId="77777777" w:rsidTr="00156516">
        <w:tc>
          <w:tcPr>
            <w:tcW w:w="2319" w:type="dxa"/>
            <w:gridSpan w:val="2"/>
          </w:tcPr>
          <w:p w14:paraId="50883C6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58107F8" w14:textId="040BA2E9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notebooku.</w:t>
            </w:r>
          </w:p>
        </w:tc>
        <w:tc>
          <w:tcPr>
            <w:tcW w:w="3020" w:type="dxa"/>
          </w:tcPr>
          <w:p w14:paraId="121B677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8C51093" w14:textId="77777777" w:rsidTr="00156516">
        <w:tc>
          <w:tcPr>
            <w:tcW w:w="2319" w:type="dxa"/>
            <w:gridSpan w:val="2"/>
          </w:tcPr>
          <w:p w14:paraId="325B3D2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7145A36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Jediné kontaktní místo pro nahlášení poruch v celé ČR, servisní střediska pokrývající celé území ČR. Podpora poskytovaná prostřednictvím telefonní linky musí být dostupná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Podpora prostřednictvím internetu musí umožnovat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stahování ovladačů a manuálů z internetu adresně pro konkrétní zadané sériové číslo zařízení.</w:t>
            </w:r>
          </w:p>
        </w:tc>
        <w:tc>
          <w:tcPr>
            <w:tcW w:w="3020" w:type="dxa"/>
          </w:tcPr>
          <w:p w14:paraId="179ACD5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[doplní účastník]</w:t>
            </w:r>
          </w:p>
        </w:tc>
      </w:tr>
    </w:tbl>
    <w:p w14:paraId="7FAF644B" w14:textId="77777777" w:rsidR="0035109A" w:rsidRDefault="0035109A" w:rsidP="00050C5C"/>
    <w:p w14:paraId="7B910A4E" w14:textId="77777777" w:rsidR="007C1671" w:rsidRDefault="007C1671" w:rsidP="00050C5C"/>
    <w:p w14:paraId="3C83666B" w14:textId="77777777" w:rsidR="0024702F" w:rsidRDefault="0024702F" w:rsidP="00050C5C"/>
    <w:p w14:paraId="5D076F29" w14:textId="77777777" w:rsidR="0024702F" w:rsidRPr="00A202B0" w:rsidRDefault="0024702F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DA4B74" w:rsidRDefault="00050C5C" w:rsidP="00050C5C">
      <w:pPr>
        <w:rPr>
          <w:b/>
          <w:i/>
          <w:highlight w:val="yellow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193D930" w14:textId="7AD3983B" w:rsidR="00050C5C" w:rsidRPr="00DA4B74" w:rsidRDefault="00050C5C" w:rsidP="00050C5C">
      <w:pPr>
        <w:rPr>
          <w:i/>
          <w:highlight w:val="yellow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1FFFC767" w14:textId="22840526" w:rsidR="00050C5C" w:rsidRPr="00DA4B74" w:rsidRDefault="00050C5C" w:rsidP="00050C5C">
      <w:pPr>
        <w:rPr>
          <w:i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C0FFEE7" w14:textId="77777777" w:rsidR="00EF35D7" w:rsidRPr="00DA4B74" w:rsidRDefault="00EF35D7" w:rsidP="00050C5C">
      <w:pPr>
        <w:rPr>
          <w:i/>
        </w:rPr>
      </w:pPr>
    </w:p>
    <w:p w14:paraId="5CB2ADDF" w14:textId="77777777" w:rsidR="00EF35D7" w:rsidRPr="00DA4B74" w:rsidRDefault="00EF35D7" w:rsidP="00050C5C">
      <w:pPr>
        <w:rPr>
          <w:i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808A" w14:textId="77777777" w:rsidR="00F73353" w:rsidRDefault="00F73353" w:rsidP="007B6243">
      <w:r>
        <w:separator/>
      </w:r>
    </w:p>
  </w:endnote>
  <w:endnote w:type="continuationSeparator" w:id="0">
    <w:p w14:paraId="223FC72A" w14:textId="77777777" w:rsidR="00F73353" w:rsidRDefault="00F73353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2465" w14:textId="77777777" w:rsidR="00F73353" w:rsidRDefault="00F73353" w:rsidP="007B6243">
      <w:r>
        <w:separator/>
      </w:r>
    </w:p>
  </w:footnote>
  <w:footnote w:type="continuationSeparator" w:id="0">
    <w:p w14:paraId="78A78BDE" w14:textId="77777777" w:rsidR="00F73353" w:rsidRDefault="00F73353" w:rsidP="007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D6A"/>
    <w:multiLevelType w:val="hybridMultilevel"/>
    <w:tmpl w:val="F05C7806"/>
    <w:lvl w:ilvl="0" w:tplc="A14EC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32F"/>
    <w:multiLevelType w:val="hybridMultilevel"/>
    <w:tmpl w:val="E9806952"/>
    <w:lvl w:ilvl="0" w:tplc="5ADE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486">
    <w:abstractNumId w:val="4"/>
  </w:num>
  <w:num w:numId="2" w16cid:durableId="1556046434">
    <w:abstractNumId w:val="1"/>
  </w:num>
  <w:num w:numId="3" w16cid:durableId="1869103247">
    <w:abstractNumId w:val="0"/>
  </w:num>
  <w:num w:numId="4" w16cid:durableId="616369506">
    <w:abstractNumId w:val="6"/>
  </w:num>
  <w:num w:numId="5" w16cid:durableId="2069259139">
    <w:abstractNumId w:val="5"/>
  </w:num>
  <w:num w:numId="6" w16cid:durableId="682439924">
    <w:abstractNumId w:val="7"/>
  </w:num>
  <w:num w:numId="7" w16cid:durableId="754670125">
    <w:abstractNumId w:val="3"/>
  </w:num>
  <w:num w:numId="8" w16cid:durableId="86305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A2A"/>
    <w:rsid w:val="00026C15"/>
    <w:rsid w:val="00030ABA"/>
    <w:rsid w:val="00031201"/>
    <w:rsid w:val="00032C43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1A52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96C6D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50FB"/>
    <w:rsid w:val="000B7BF9"/>
    <w:rsid w:val="000B7D40"/>
    <w:rsid w:val="000C1B04"/>
    <w:rsid w:val="000C247B"/>
    <w:rsid w:val="000C5B3B"/>
    <w:rsid w:val="000C74D5"/>
    <w:rsid w:val="000D1C24"/>
    <w:rsid w:val="000D2D45"/>
    <w:rsid w:val="000D3CAA"/>
    <w:rsid w:val="000D7588"/>
    <w:rsid w:val="000D7A69"/>
    <w:rsid w:val="000E51D5"/>
    <w:rsid w:val="000E61F5"/>
    <w:rsid w:val="000E652E"/>
    <w:rsid w:val="000F08CC"/>
    <w:rsid w:val="000F17BF"/>
    <w:rsid w:val="000F236B"/>
    <w:rsid w:val="000F294E"/>
    <w:rsid w:val="000F4D6E"/>
    <w:rsid w:val="000F6EF8"/>
    <w:rsid w:val="000F7F01"/>
    <w:rsid w:val="00100FBB"/>
    <w:rsid w:val="00102CE4"/>
    <w:rsid w:val="001036D5"/>
    <w:rsid w:val="001053AA"/>
    <w:rsid w:val="001054FF"/>
    <w:rsid w:val="00107A4E"/>
    <w:rsid w:val="0011007B"/>
    <w:rsid w:val="00110E04"/>
    <w:rsid w:val="00111A25"/>
    <w:rsid w:val="00111F4B"/>
    <w:rsid w:val="0011227F"/>
    <w:rsid w:val="0011281F"/>
    <w:rsid w:val="00113431"/>
    <w:rsid w:val="001150F4"/>
    <w:rsid w:val="001151BD"/>
    <w:rsid w:val="001177BD"/>
    <w:rsid w:val="00117C65"/>
    <w:rsid w:val="001211A2"/>
    <w:rsid w:val="00123E09"/>
    <w:rsid w:val="00124928"/>
    <w:rsid w:val="0013060B"/>
    <w:rsid w:val="00130C63"/>
    <w:rsid w:val="00135E66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2BC2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946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A0C"/>
    <w:rsid w:val="001B4B18"/>
    <w:rsid w:val="001B62E7"/>
    <w:rsid w:val="001B70FA"/>
    <w:rsid w:val="001C200D"/>
    <w:rsid w:val="001C2454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337F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02F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63CB"/>
    <w:rsid w:val="00257770"/>
    <w:rsid w:val="0026164D"/>
    <w:rsid w:val="002618E7"/>
    <w:rsid w:val="00261ABD"/>
    <w:rsid w:val="00263FC5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97C6C"/>
    <w:rsid w:val="002A14A6"/>
    <w:rsid w:val="002A2E6E"/>
    <w:rsid w:val="002A41D2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2F7737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46A2"/>
    <w:rsid w:val="00317603"/>
    <w:rsid w:val="00320505"/>
    <w:rsid w:val="0032195F"/>
    <w:rsid w:val="003259DE"/>
    <w:rsid w:val="00326D80"/>
    <w:rsid w:val="0032724E"/>
    <w:rsid w:val="00327DBB"/>
    <w:rsid w:val="00327EB3"/>
    <w:rsid w:val="00331701"/>
    <w:rsid w:val="003323D5"/>
    <w:rsid w:val="00333EC6"/>
    <w:rsid w:val="0033612D"/>
    <w:rsid w:val="00336F1B"/>
    <w:rsid w:val="0033722C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67F63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121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2783C"/>
    <w:rsid w:val="00430739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1548"/>
    <w:rsid w:val="004524D0"/>
    <w:rsid w:val="00452B28"/>
    <w:rsid w:val="004555B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3A92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7B6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4D4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266"/>
    <w:rsid w:val="0053633A"/>
    <w:rsid w:val="0053776E"/>
    <w:rsid w:val="005404D0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55"/>
    <w:rsid w:val="005624F0"/>
    <w:rsid w:val="0056278D"/>
    <w:rsid w:val="00564E69"/>
    <w:rsid w:val="00564F5C"/>
    <w:rsid w:val="005658F5"/>
    <w:rsid w:val="00566704"/>
    <w:rsid w:val="0056697E"/>
    <w:rsid w:val="00567129"/>
    <w:rsid w:val="005701AB"/>
    <w:rsid w:val="005707C5"/>
    <w:rsid w:val="00576E79"/>
    <w:rsid w:val="00581176"/>
    <w:rsid w:val="005814BD"/>
    <w:rsid w:val="005817F5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482"/>
    <w:rsid w:val="005F3EE2"/>
    <w:rsid w:val="005F69BC"/>
    <w:rsid w:val="005F7930"/>
    <w:rsid w:val="005F79F1"/>
    <w:rsid w:val="006016C3"/>
    <w:rsid w:val="00602DEC"/>
    <w:rsid w:val="00603CC2"/>
    <w:rsid w:val="0060471D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3D5"/>
    <w:rsid w:val="00652D93"/>
    <w:rsid w:val="00653753"/>
    <w:rsid w:val="00653940"/>
    <w:rsid w:val="00654EB4"/>
    <w:rsid w:val="00656535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E5B"/>
    <w:rsid w:val="00671E2E"/>
    <w:rsid w:val="006741B9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5A1A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3C80"/>
    <w:rsid w:val="006F41EB"/>
    <w:rsid w:val="006F4DDB"/>
    <w:rsid w:val="006F54A9"/>
    <w:rsid w:val="006F5C12"/>
    <w:rsid w:val="006F7152"/>
    <w:rsid w:val="00702100"/>
    <w:rsid w:val="007046CC"/>
    <w:rsid w:val="00706BC4"/>
    <w:rsid w:val="00707059"/>
    <w:rsid w:val="007076DC"/>
    <w:rsid w:val="00707E35"/>
    <w:rsid w:val="00710208"/>
    <w:rsid w:val="00712859"/>
    <w:rsid w:val="0071304B"/>
    <w:rsid w:val="0071445E"/>
    <w:rsid w:val="00715858"/>
    <w:rsid w:val="00717706"/>
    <w:rsid w:val="0072188A"/>
    <w:rsid w:val="007223A8"/>
    <w:rsid w:val="00722F0E"/>
    <w:rsid w:val="007251CD"/>
    <w:rsid w:val="007273A3"/>
    <w:rsid w:val="00727426"/>
    <w:rsid w:val="007303BD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45A"/>
    <w:rsid w:val="00765B58"/>
    <w:rsid w:val="00770861"/>
    <w:rsid w:val="00770ECB"/>
    <w:rsid w:val="00771DF1"/>
    <w:rsid w:val="007738F3"/>
    <w:rsid w:val="007817C8"/>
    <w:rsid w:val="00781AA1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1A60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1671"/>
    <w:rsid w:val="007C2159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7F79C3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0A53"/>
    <w:rsid w:val="00831C72"/>
    <w:rsid w:val="00835640"/>
    <w:rsid w:val="00836CBD"/>
    <w:rsid w:val="0084091E"/>
    <w:rsid w:val="008409E5"/>
    <w:rsid w:val="0084354C"/>
    <w:rsid w:val="00845D6B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2B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07C35"/>
    <w:rsid w:val="00912CCA"/>
    <w:rsid w:val="00913BB1"/>
    <w:rsid w:val="0091438C"/>
    <w:rsid w:val="00915184"/>
    <w:rsid w:val="009154A8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6DC"/>
    <w:rsid w:val="00930DA1"/>
    <w:rsid w:val="009321D8"/>
    <w:rsid w:val="009321E7"/>
    <w:rsid w:val="009325F4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196C"/>
    <w:rsid w:val="00953371"/>
    <w:rsid w:val="009564B5"/>
    <w:rsid w:val="009576BD"/>
    <w:rsid w:val="00961B64"/>
    <w:rsid w:val="009656C6"/>
    <w:rsid w:val="009679AA"/>
    <w:rsid w:val="00967C79"/>
    <w:rsid w:val="009701E3"/>
    <w:rsid w:val="00970753"/>
    <w:rsid w:val="00972C15"/>
    <w:rsid w:val="00973F69"/>
    <w:rsid w:val="0097609A"/>
    <w:rsid w:val="0097712E"/>
    <w:rsid w:val="0097734D"/>
    <w:rsid w:val="0097795C"/>
    <w:rsid w:val="00980784"/>
    <w:rsid w:val="0098102B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7FB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2EB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0877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2A6C"/>
    <w:rsid w:val="00A6410F"/>
    <w:rsid w:val="00A647F7"/>
    <w:rsid w:val="00A66CE2"/>
    <w:rsid w:val="00A66CE3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77EBD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23F9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2C5B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265E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0684"/>
    <w:rsid w:val="00BB196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06BFD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23E"/>
    <w:rsid w:val="00C147DE"/>
    <w:rsid w:val="00C15E0E"/>
    <w:rsid w:val="00C1704F"/>
    <w:rsid w:val="00C17BCF"/>
    <w:rsid w:val="00C21412"/>
    <w:rsid w:val="00C21CEF"/>
    <w:rsid w:val="00C22761"/>
    <w:rsid w:val="00C2296A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15D3"/>
    <w:rsid w:val="00C43766"/>
    <w:rsid w:val="00C44B71"/>
    <w:rsid w:val="00C44E45"/>
    <w:rsid w:val="00C451C9"/>
    <w:rsid w:val="00C45C89"/>
    <w:rsid w:val="00C46053"/>
    <w:rsid w:val="00C50AB7"/>
    <w:rsid w:val="00C50B4E"/>
    <w:rsid w:val="00C53E73"/>
    <w:rsid w:val="00C571BD"/>
    <w:rsid w:val="00C624EA"/>
    <w:rsid w:val="00C62AEC"/>
    <w:rsid w:val="00C6525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77CB4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3D8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565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4BD7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37BE"/>
    <w:rsid w:val="00D47127"/>
    <w:rsid w:val="00D472B0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A4B74"/>
    <w:rsid w:val="00DB0EBE"/>
    <w:rsid w:val="00DB1A79"/>
    <w:rsid w:val="00DB3D8B"/>
    <w:rsid w:val="00DB445A"/>
    <w:rsid w:val="00DB4570"/>
    <w:rsid w:val="00DB4EFE"/>
    <w:rsid w:val="00DB6F19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5EB8"/>
    <w:rsid w:val="00DD7055"/>
    <w:rsid w:val="00DD7160"/>
    <w:rsid w:val="00DD731D"/>
    <w:rsid w:val="00DE117E"/>
    <w:rsid w:val="00DE1193"/>
    <w:rsid w:val="00DE1908"/>
    <w:rsid w:val="00DE2B2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2FD2"/>
    <w:rsid w:val="00E33FAC"/>
    <w:rsid w:val="00E3453E"/>
    <w:rsid w:val="00E34A8C"/>
    <w:rsid w:val="00E36545"/>
    <w:rsid w:val="00E36DAE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563B5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4CDB"/>
    <w:rsid w:val="00EA5AC4"/>
    <w:rsid w:val="00EA5B62"/>
    <w:rsid w:val="00EB0928"/>
    <w:rsid w:val="00EB1568"/>
    <w:rsid w:val="00EB210D"/>
    <w:rsid w:val="00EB2DFC"/>
    <w:rsid w:val="00EB47AF"/>
    <w:rsid w:val="00EC006E"/>
    <w:rsid w:val="00EC1188"/>
    <w:rsid w:val="00EC1DAC"/>
    <w:rsid w:val="00EC1E13"/>
    <w:rsid w:val="00EC2781"/>
    <w:rsid w:val="00EC2985"/>
    <w:rsid w:val="00EC2F6C"/>
    <w:rsid w:val="00EC346D"/>
    <w:rsid w:val="00EC3688"/>
    <w:rsid w:val="00EC40A4"/>
    <w:rsid w:val="00EC4974"/>
    <w:rsid w:val="00EC5176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3CAA"/>
    <w:rsid w:val="00EE620D"/>
    <w:rsid w:val="00EE64D6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1B7B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353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0EB9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39F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4F3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A1A60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1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9724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2025-08-18T11:39:00Z</dcterms:created>
  <dcterms:modified xsi:type="dcterms:W3CDTF">2025-08-18T14:12:00Z</dcterms:modified>
</cp:coreProperties>
</file>