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F38D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5E63B2C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3C78BD62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7F062D7E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B0C3342" w14:textId="77777777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bookmarkStart w:id="0" w:name="_Hlk55230905"/>
      <w:r w:rsidR="00F058BB" w:rsidRPr="00404FA5">
        <w:rPr>
          <w:rFonts w:ascii="Garamond" w:hAnsi="Garamond"/>
          <w:b/>
          <w:bCs/>
        </w:rPr>
        <w:t>„</w:t>
      </w:r>
      <w:r w:rsidR="008C1713">
        <w:rPr>
          <w:rFonts w:ascii="Garamond" w:hAnsi="Garamond"/>
          <w:b/>
          <w:bCs/>
        </w:rPr>
        <w:t>B</w:t>
      </w:r>
      <w:r w:rsidR="008C1713">
        <w:rPr>
          <w:rFonts w:ascii="Garamond" w:eastAsiaTheme="minorHAnsi" w:hAnsi="Garamond" w:cs="Tahoma"/>
          <w:b/>
          <w:bCs/>
        </w:rPr>
        <w:t>iela a čierna technika</w:t>
      </w:r>
      <w:r w:rsidR="006B1457" w:rsidRPr="00404FA5">
        <w:rPr>
          <w:rFonts w:ascii="Garamond" w:eastAsiaTheme="minorHAnsi" w:hAnsi="Garamond" w:cs="Tahoma"/>
          <w:b/>
          <w:bCs/>
        </w:rPr>
        <w:t>“</w:t>
      </w:r>
      <w:bookmarkEnd w:id="0"/>
    </w:p>
    <w:p w14:paraId="0E1747D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2E2AD26D" w14:textId="484EBA8F" w:rsidR="00774762" w:rsidRPr="001F4B0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1F4B07">
        <w:rPr>
          <w:rFonts w:ascii="Garamond" w:eastAsiaTheme="minorHAnsi" w:hAnsi="Garamond" w:cs="Calibri"/>
          <w:bCs/>
          <w:color w:val="auto"/>
        </w:rPr>
        <w:t>Celková</w:t>
      </w:r>
      <w:r w:rsidR="003A5AD7" w:rsidRPr="001F4B07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="00387BEC">
        <w:rPr>
          <w:rFonts w:ascii="Garamond" w:eastAsiaTheme="minorHAnsi" w:hAnsi="Garamond" w:cs="Calibri"/>
          <w:bCs/>
          <w:color w:val="auto"/>
        </w:rPr>
        <w:t xml:space="preserve"> </w:t>
      </w:r>
      <w:r w:rsidR="00FB5F6A">
        <w:rPr>
          <w:rFonts w:ascii="Garamond" w:eastAsiaTheme="minorHAnsi" w:hAnsi="Garamond" w:cs="Calibri"/>
          <w:bCs/>
          <w:color w:val="auto"/>
        </w:rPr>
        <w:t>186 886,00</w:t>
      </w:r>
      <w:r w:rsidR="00387BEC" w:rsidRPr="008F27AB">
        <w:rPr>
          <w:rFonts w:ascii="Garamond" w:eastAsiaTheme="minorHAnsi" w:hAnsi="Garamond" w:cs="Calibri"/>
          <w:bCs/>
          <w:color w:val="auto"/>
        </w:rPr>
        <w:t xml:space="preserve"> </w:t>
      </w:r>
      <w:r w:rsidR="001F4B07" w:rsidRPr="008F27AB">
        <w:rPr>
          <w:rFonts w:ascii="Garamond" w:eastAsiaTheme="minorHAnsi" w:hAnsi="Garamond" w:cs="Calibri"/>
          <w:bCs/>
          <w:color w:val="auto"/>
        </w:rPr>
        <w:t xml:space="preserve">eur </w:t>
      </w:r>
      <w:r w:rsidR="001F4B07">
        <w:rPr>
          <w:rFonts w:ascii="Garamond" w:eastAsiaTheme="minorHAnsi" w:hAnsi="Garamond" w:cs="Calibri"/>
          <w:bCs/>
          <w:color w:val="auto"/>
        </w:rPr>
        <w:t>bez DPH</w:t>
      </w:r>
    </w:p>
    <w:p w14:paraId="3BD76D99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29463CB" w14:textId="77777777" w:rsidR="00774762" w:rsidRPr="00971550" w:rsidRDefault="00774762" w:rsidP="001E3DF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</w:t>
      </w:r>
      <w:r w:rsidR="008C1713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 od jeho zriadenia. </w:t>
      </w:r>
    </w:p>
    <w:p w14:paraId="21C53B17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26789AC1" w14:textId="77777777" w:rsidR="00EE263B" w:rsidRPr="001328CA" w:rsidRDefault="000968B8" w:rsidP="003C064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1328CA">
        <w:rPr>
          <w:rFonts w:ascii="Garamond" w:hAnsi="Garamond"/>
        </w:rPr>
        <w:t>Predmetom zákaziek zadávaných v </w:t>
      </w:r>
      <w:r w:rsidR="00FE23BA" w:rsidRPr="001328CA" w:rsidDel="00FE23BA">
        <w:rPr>
          <w:rFonts w:ascii="Garamond" w:hAnsi="Garamond"/>
        </w:rPr>
        <w:t xml:space="preserve"> </w:t>
      </w:r>
      <w:r w:rsidRPr="001328CA">
        <w:rPr>
          <w:rFonts w:ascii="Garamond" w:hAnsi="Garamond"/>
        </w:rPr>
        <w:t xml:space="preserve">DNS je najmä </w:t>
      </w:r>
      <w:r w:rsidR="00EE263B" w:rsidRPr="001328CA">
        <w:rPr>
          <w:rFonts w:ascii="Garamond" w:hAnsi="Garamond"/>
        </w:rPr>
        <w:t xml:space="preserve">dodávka </w:t>
      </w:r>
      <w:r w:rsidR="006C4CBC" w:rsidRPr="001328CA">
        <w:rPr>
          <w:rFonts w:ascii="Garamond" w:hAnsi="Garamond"/>
        </w:rPr>
        <w:t xml:space="preserve">rôznych zariadení </w:t>
      </w:r>
      <w:r w:rsidR="008C1713">
        <w:rPr>
          <w:rFonts w:ascii="Garamond" w:hAnsi="Garamond"/>
        </w:rPr>
        <w:t>bielej a čiernej techniky</w:t>
      </w:r>
      <w:r w:rsidR="001328CA" w:rsidRPr="001328CA">
        <w:rPr>
          <w:rFonts w:ascii="Garamond" w:hAnsi="Garamond"/>
        </w:rPr>
        <w:t xml:space="preserve">, </w:t>
      </w:r>
      <w:r w:rsidR="006C4CBC" w:rsidRPr="001328CA">
        <w:rPr>
          <w:rFonts w:ascii="Garamond" w:hAnsi="Garamond"/>
        </w:rPr>
        <w:t xml:space="preserve">najmä bežne dostupných </w:t>
      </w:r>
      <w:r w:rsidR="008C1713">
        <w:rPr>
          <w:rFonts w:ascii="Garamond" w:hAnsi="Garamond"/>
        </w:rPr>
        <w:t>kávovarov, mikrovlnných rúr, skartovačiek, chladničiek, TV, dataprojektorov, umývačiek riadu,</w:t>
      </w:r>
      <w:r w:rsidR="008F27AB">
        <w:rPr>
          <w:rFonts w:ascii="Garamond" w:hAnsi="Garamond"/>
        </w:rPr>
        <w:t xml:space="preserve"> mobilných telefónov, tabletov </w:t>
      </w:r>
      <w:r w:rsidR="00D7598B">
        <w:rPr>
          <w:rFonts w:ascii="Garamond" w:hAnsi="Garamond"/>
        </w:rPr>
        <w:t xml:space="preserve">vrátane príslušenstva </w:t>
      </w:r>
      <w:r w:rsidR="00F27580" w:rsidRPr="001328CA">
        <w:rPr>
          <w:rFonts w:ascii="Garamond" w:hAnsi="Garamond"/>
        </w:rPr>
        <w:t>počas celého obdobia Dynamického nákupného systému, pričom pôjde najmä o:</w:t>
      </w:r>
    </w:p>
    <w:p w14:paraId="7BD596D5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4C085679" w14:textId="77777777" w:rsidR="008C1713" w:rsidRPr="008C1713" w:rsidRDefault="008C1713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 w:rsidRPr="008C1713">
        <w:rPr>
          <w:rFonts w:ascii="Garamond" w:hAnsi="Garamond"/>
          <w:color w:val="auto"/>
        </w:rPr>
        <w:t>39700000-9</w:t>
      </w:r>
      <w:r>
        <w:rPr>
          <w:rFonts w:ascii="Garamond" w:hAnsi="Garamond"/>
          <w:color w:val="auto"/>
        </w:rPr>
        <w:t xml:space="preserve"> - </w:t>
      </w:r>
      <w:r w:rsidRPr="008C1713">
        <w:rPr>
          <w:rFonts w:ascii="Garamond" w:hAnsi="Garamond"/>
          <w:color w:val="auto"/>
        </w:rPr>
        <w:t>Spotrebiče pre domácnosť                                                                                                  39710000-2 - Elektrické prístroje pre domácnosť</w:t>
      </w:r>
      <w:r w:rsidRPr="008C1713">
        <w:rPr>
          <w:rFonts w:ascii="Garamond" w:hAnsi="Garamond"/>
          <w:color w:val="auto"/>
        </w:rPr>
        <w:br/>
        <w:t>39721000-2 - Zariadenia na varenie alebo kúrenie pre domácnosť</w:t>
      </w:r>
    </w:p>
    <w:p w14:paraId="76EA4BC7" w14:textId="77777777" w:rsidR="008C1713" w:rsidRDefault="00D7598B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30190000-7 - </w:t>
      </w:r>
      <w:r w:rsidR="008C1713" w:rsidRPr="008C1713">
        <w:rPr>
          <w:rFonts w:ascii="Garamond" w:hAnsi="Garamond"/>
          <w:color w:val="auto"/>
        </w:rPr>
        <w:t>Rôzne kancelárske zariadenia a kancelárske potreby</w:t>
      </w:r>
      <w:r w:rsidR="008C1713" w:rsidRPr="008C1713">
        <w:rPr>
          <w:rFonts w:ascii="Garamond" w:hAnsi="Garamond"/>
          <w:color w:val="auto"/>
        </w:rPr>
        <w:br/>
        <w:t xml:space="preserve">32300000-6 - Televízne a rozhlasové prijímače a prístroje na záznam alebo reprodukciu zvuku </w:t>
      </w:r>
      <w:r w:rsidR="008C1713">
        <w:rPr>
          <w:rFonts w:ascii="Garamond" w:hAnsi="Garamond"/>
          <w:color w:val="auto"/>
        </w:rPr>
        <w:t xml:space="preserve"> </w:t>
      </w:r>
    </w:p>
    <w:p w14:paraId="1569F9BF" w14:textId="77777777" w:rsidR="008C1713" w:rsidRPr="008C1713" w:rsidRDefault="008C1713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                     a</w:t>
      </w:r>
      <w:r w:rsidRPr="008C1713">
        <w:rPr>
          <w:rFonts w:ascii="Garamond" w:hAnsi="Garamond"/>
          <w:color w:val="auto"/>
        </w:rPr>
        <w:t>lebo</w:t>
      </w:r>
      <w:r>
        <w:rPr>
          <w:rFonts w:ascii="Garamond" w:hAnsi="Garamond"/>
          <w:color w:val="auto"/>
        </w:rPr>
        <w:t xml:space="preserve"> </w:t>
      </w:r>
      <w:r w:rsidRPr="008C1713">
        <w:rPr>
          <w:rFonts w:ascii="Garamond" w:hAnsi="Garamond"/>
          <w:color w:val="auto"/>
        </w:rPr>
        <w:t>obrazu</w:t>
      </w:r>
    </w:p>
    <w:p w14:paraId="1D9ECFF5" w14:textId="77777777" w:rsidR="008C1713" w:rsidRPr="008C1713" w:rsidRDefault="008C1713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 w:rsidRPr="008C1713">
        <w:rPr>
          <w:rFonts w:ascii="Garamond" w:hAnsi="Garamond"/>
          <w:color w:val="auto"/>
        </w:rPr>
        <w:t>32250000-0 - </w:t>
      </w:r>
      <w:r w:rsidR="00D7598B">
        <w:rPr>
          <w:rFonts w:ascii="Garamond" w:hAnsi="Garamond"/>
          <w:color w:val="auto"/>
        </w:rPr>
        <w:t xml:space="preserve"> </w:t>
      </w:r>
      <w:r w:rsidRPr="008C1713">
        <w:rPr>
          <w:rFonts w:ascii="Garamond" w:hAnsi="Garamond"/>
          <w:color w:val="auto"/>
        </w:rPr>
        <w:t>Mobilné telefóny</w:t>
      </w:r>
    </w:p>
    <w:p w14:paraId="709CACFD" w14:textId="77777777" w:rsidR="008C1713" w:rsidRPr="008C1713" w:rsidRDefault="008C1713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 w:rsidRPr="008C1713">
        <w:rPr>
          <w:rFonts w:ascii="Garamond" w:hAnsi="Garamond"/>
          <w:color w:val="auto"/>
        </w:rPr>
        <w:t xml:space="preserve">30237000-9 - </w:t>
      </w:r>
      <w:r w:rsidR="00D7598B">
        <w:rPr>
          <w:rFonts w:ascii="Garamond" w:hAnsi="Garamond"/>
          <w:color w:val="auto"/>
        </w:rPr>
        <w:t xml:space="preserve"> </w:t>
      </w:r>
      <w:r w:rsidRPr="008C1713">
        <w:rPr>
          <w:rFonts w:ascii="Garamond" w:hAnsi="Garamond"/>
          <w:color w:val="auto"/>
        </w:rPr>
        <w:t>Časti a príslušenstvo počítačov a spotrebný materiál k nim</w:t>
      </w:r>
    </w:p>
    <w:p w14:paraId="45A54E96" w14:textId="77777777" w:rsidR="008C1713" w:rsidRPr="008C1713" w:rsidRDefault="008C1713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 w:rsidRPr="008C1713">
        <w:rPr>
          <w:rFonts w:ascii="Garamond" w:hAnsi="Garamond"/>
          <w:color w:val="auto"/>
        </w:rPr>
        <w:t xml:space="preserve">38652000-0 - </w:t>
      </w:r>
      <w:r w:rsidR="00D7598B">
        <w:rPr>
          <w:rFonts w:ascii="Garamond" w:hAnsi="Garamond"/>
          <w:color w:val="auto"/>
        </w:rPr>
        <w:t xml:space="preserve"> </w:t>
      </w:r>
      <w:r w:rsidRPr="008C1713">
        <w:rPr>
          <w:rFonts w:ascii="Garamond" w:hAnsi="Garamond"/>
          <w:color w:val="auto"/>
        </w:rPr>
        <w:t>Premietacie prístroje pre kiná</w:t>
      </w:r>
    </w:p>
    <w:p w14:paraId="71C4A0E3" w14:textId="77777777" w:rsidR="006A5218" w:rsidRDefault="006A5218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39717000-1 - </w:t>
      </w:r>
      <w:r w:rsidRPr="006A5218">
        <w:rPr>
          <w:rFonts w:ascii="Garamond" w:hAnsi="Garamond"/>
          <w:color w:val="auto"/>
        </w:rPr>
        <w:t>Ventilátory a klimatizačné spotrebiče</w:t>
      </w:r>
    </w:p>
    <w:p w14:paraId="1F5D20D9" w14:textId="77777777" w:rsidR="001328CA" w:rsidRDefault="001328CA" w:rsidP="008C1713">
      <w:pPr>
        <w:pStyle w:val="Default"/>
        <w:spacing w:line="271" w:lineRule="auto"/>
        <w:ind w:left="360"/>
        <w:rPr>
          <w:rFonts w:ascii="Garamond" w:hAnsi="Garamond"/>
          <w:color w:val="auto"/>
        </w:rPr>
      </w:pPr>
      <w:r w:rsidRPr="001328CA">
        <w:rPr>
          <w:rFonts w:ascii="Garamond" w:hAnsi="Garamond"/>
          <w:color w:val="auto"/>
        </w:rPr>
        <w:t>60000000-8</w:t>
      </w:r>
      <w:r w:rsidR="008C1713">
        <w:rPr>
          <w:rFonts w:ascii="Garamond" w:hAnsi="Garamond"/>
          <w:color w:val="auto"/>
        </w:rPr>
        <w:t xml:space="preserve"> - </w:t>
      </w:r>
      <w:r w:rsidRPr="001328CA">
        <w:rPr>
          <w:rFonts w:ascii="Garamond" w:hAnsi="Garamond"/>
          <w:color w:val="auto"/>
        </w:rPr>
        <w:t xml:space="preserve"> Dopravné služby (bez prepravy odpadu)</w:t>
      </w:r>
    </w:p>
    <w:p w14:paraId="52C1EC63" w14:textId="77777777" w:rsidR="001328CA" w:rsidRPr="00971550" w:rsidRDefault="001328CA" w:rsidP="001328CA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74967DB5" w14:textId="77777777" w:rsidR="001F4B07" w:rsidRDefault="001F4B07" w:rsidP="002C3DB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Verejný obstarávateľ si vyhradzuje právo upraviť a/alebo zmeniť podmienky a špecifikácie tovaru v každej výzve na predkladanie ponúk, ktorú zašle všetkým zaregistrovaným záujemcom.</w:t>
      </w:r>
    </w:p>
    <w:p w14:paraId="4C619099" w14:textId="77777777" w:rsidR="001F4B07" w:rsidRDefault="001F4B07" w:rsidP="001F4B07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5F5238F" w14:textId="77777777" w:rsidR="00A15895" w:rsidRDefault="00A15895" w:rsidP="00986AFE">
      <w:pPr>
        <w:pStyle w:val="Default"/>
        <w:numPr>
          <w:ilvl w:val="0"/>
          <w:numId w:val="14"/>
        </w:numPr>
        <w:spacing w:line="271" w:lineRule="auto"/>
        <w:ind w:left="426"/>
        <w:jc w:val="both"/>
        <w:rPr>
          <w:rFonts w:ascii="Garamond" w:hAnsi="Garamond"/>
          <w:color w:val="auto"/>
        </w:rPr>
      </w:pPr>
      <w:r w:rsidRPr="006A5218">
        <w:rPr>
          <w:rFonts w:ascii="Garamond" w:hAnsi="Garamond"/>
          <w:color w:val="auto"/>
        </w:rPr>
        <w:t xml:space="preserve">Tovar musí byť nový, nepoužívaný, zabalený v neporušených obaloch, nepoškodený. Tovar nesmie byť recyklovaný, repasovaný, renovovaný. Verejný obstarávateľ požaduje na dodaný tovar min. </w:t>
      </w:r>
      <w:r w:rsidR="00D7598B" w:rsidRPr="006A5218">
        <w:rPr>
          <w:rFonts w:ascii="Garamond" w:hAnsi="Garamond"/>
          <w:color w:val="auto"/>
        </w:rPr>
        <w:t>24</w:t>
      </w:r>
      <w:r w:rsidRPr="006A5218">
        <w:rPr>
          <w:rFonts w:ascii="Garamond" w:hAnsi="Garamond"/>
          <w:color w:val="auto"/>
        </w:rPr>
        <w:t xml:space="preserve"> mesačnú záruku (ďalej len „záruka“), pokiaľ na záručnom liste nie je vyznačená dlhšia doba podľa záručných podmienok výrobcu. V rámci záruky verejný obstarávateľ požaduje odstránenie vady v nasledovný pracovný deň od jej nahlásenia na helpdesk zabezpečený predávajúcim. V prípade, že z objektívnych dôvodov nebude možné vadu odstrániť na mieste, zabezpečí výmenu vadného kusu zariadenia, alebo výmenu kompletného zariadenia. </w:t>
      </w:r>
    </w:p>
    <w:p w14:paraId="386206F5" w14:textId="77777777" w:rsidR="006A5218" w:rsidRPr="006A5218" w:rsidRDefault="006A5218" w:rsidP="006A5218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23B1AEF6" w14:textId="77777777" w:rsidR="000968B8" w:rsidRPr="00971550" w:rsidRDefault="009F7A9C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Verejný obstarávateľ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7291D18E" w14:textId="77777777" w:rsid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5F212BA5" w14:textId="77777777" w:rsidR="000968B8" w:rsidRP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E8288A">
        <w:rPr>
          <w:rFonts w:ascii="Garamond" w:hAnsi="Garamond"/>
          <w:color w:val="auto"/>
        </w:rPr>
        <w:lastRenderedPageBreak/>
        <w:t xml:space="preserve">obsahovať </w:t>
      </w:r>
      <w:r w:rsidR="00EE263B" w:rsidRPr="00E8288A">
        <w:rPr>
          <w:rFonts w:ascii="Garamond" w:hAnsi="Garamond"/>
          <w:color w:val="auto"/>
        </w:rPr>
        <w:t>tovary</w:t>
      </w:r>
      <w:r w:rsidRPr="00E8288A">
        <w:rPr>
          <w:rFonts w:ascii="Garamond" w:hAnsi="Garamond"/>
          <w:color w:val="auto"/>
        </w:rPr>
        <w:t xml:space="preserve"> s inými špecifikáciami, ktoré sú bežne dostupné na trhu.</w:t>
      </w:r>
    </w:p>
    <w:p w14:paraId="16944AE9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520A8AAF" w14:textId="77777777" w:rsidR="002936D1" w:rsidRPr="000553BE" w:rsidRDefault="009F7A9C" w:rsidP="000553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</w:rPr>
        <w:t>Verejný obstarávateľ</w:t>
      </w:r>
      <w:r w:rsidR="002936D1" w:rsidRPr="005A5A1E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>
        <w:rPr>
          <w:rFonts w:ascii="Garamond" w:hAnsi="Garamond"/>
        </w:rPr>
        <w:t>verejného obstarávateľa</w:t>
      </w:r>
      <w:r w:rsidR="002936D1" w:rsidRPr="005A5A1E">
        <w:rPr>
          <w:rFonts w:ascii="Garamond" w:hAnsi="Garamond"/>
        </w:rPr>
        <w:t xml:space="preserve">. Objem konkrétnych zákaziek zadávaných v rámci DNS predpokladá </w:t>
      </w:r>
      <w:r>
        <w:rPr>
          <w:rFonts w:ascii="Garamond" w:hAnsi="Garamond"/>
        </w:rPr>
        <w:t>verejný obstarávateľ</w:t>
      </w:r>
      <w:r w:rsidR="002936D1" w:rsidRPr="005A5A1E">
        <w:rPr>
          <w:rFonts w:ascii="Garamond" w:hAnsi="Garamond"/>
        </w:rPr>
        <w:t xml:space="preserve"> v rôznom rozsahu podľa aktuálnej potreby v každej konkrétnej zadávanej zákazke v rámci DNS. </w:t>
      </w:r>
      <w:r w:rsidR="00EE263B" w:rsidRPr="005A5A1E">
        <w:rPr>
          <w:rFonts w:ascii="Garamond" w:hAnsi="Garamond"/>
        </w:rPr>
        <w:t>Tovary</w:t>
      </w:r>
      <w:r w:rsidR="002936D1" w:rsidRPr="005A5A1E">
        <w:rPr>
          <w:rFonts w:ascii="Garamond" w:hAnsi="Garamond"/>
        </w:rPr>
        <w:t xml:space="preserve"> budú </w:t>
      </w:r>
      <w:r w:rsidR="00EE263B" w:rsidRPr="005A5A1E">
        <w:rPr>
          <w:rFonts w:ascii="Garamond" w:hAnsi="Garamond"/>
        </w:rPr>
        <w:t>dodávané</w:t>
      </w:r>
      <w:r w:rsidR="002936D1" w:rsidRPr="005A5A1E">
        <w:rPr>
          <w:rFonts w:ascii="Garamond" w:hAnsi="Garamond"/>
        </w:rPr>
        <w:t xml:space="preserve"> v rozsahu a v závislosti od potrieb </w:t>
      </w:r>
      <w:r>
        <w:rPr>
          <w:rFonts w:ascii="Garamond" w:hAnsi="Garamond"/>
        </w:rPr>
        <w:t>verejného obstarávateľa</w:t>
      </w:r>
      <w:r w:rsidR="002936D1" w:rsidRPr="005A5A1E">
        <w:rPr>
          <w:rFonts w:ascii="Garamond" w:hAnsi="Garamond"/>
        </w:rPr>
        <w:t xml:space="preserve">, podľa podrobného opisu v každej konkrétnej zákazke. </w:t>
      </w:r>
      <w:r w:rsidR="005A5A1E" w:rsidRPr="005A5A1E">
        <w:rPr>
          <w:rFonts w:ascii="Garamond" w:hAnsi="Garamond"/>
        </w:rPr>
        <w:t>Plnenia na základe tohto DNS budú odovzdávané/realizované na území Slovenskej</w:t>
      </w:r>
      <w:r w:rsidR="000553BE">
        <w:rPr>
          <w:rFonts w:ascii="Garamond" w:hAnsi="Garamond"/>
          <w:color w:val="auto"/>
        </w:rPr>
        <w:t xml:space="preserve">                  </w:t>
      </w:r>
      <w:r w:rsidR="005A5A1E" w:rsidRPr="000553BE">
        <w:rPr>
          <w:rFonts w:ascii="Garamond" w:hAnsi="Garamond"/>
        </w:rPr>
        <w:br/>
        <w:t xml:space="preserve">republiky. </w:t>
      </w:r>
      <w:r w:rsidR="002936D1" w:rsidRPr="000553BE">
        <w:rPr>
          <w:rFonts w:ascii="Garamond" w:hAnsi="Garamond"/>
        </w:rPr>
        <w:t>Dodávateľ sa zaväzuje, že bude pri plnení predmetu zákazky dodržiavať platnú legislatívu Slovenskej republiky a Európskej únie.</w:t>
      </w:r>
    </w:p>
    <w:p w14:paraId="797744B2" w14:textId="77777777" w:rsidR="000968B8" w:rsidRPr="00971550" w:rsidRDefault="000968B8" w:rsidP="00577023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F935ACB" w14:textId="77777777" w:rsidR="000968B8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030F20F3" w14:textId="77777777" w:rsidR="005A5A1E" w:rsidRPr="005A5A1E" w:rsidRDefault="005A5A1E" w:rsidP="005A5A1E">
      <w:pPr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2F7" w14:paraId="381FE32B" w14:textId="77777777" w:rsidTr="00176AFB">
        <w:trPr>
          <w:trHeight w:val="454"/>
        </w:trPr>
        <w:tc>
          <w:tcPr>
            <w:tcW w:w="9062" w:type="dxa"/>
            <w:gridSpan w:val="2"/>
            <w:vAlign w:val="center"/>
          </w:tcPr>
          <w:p w14:paraId="766FBFD9" w14:textId="77777777" w:rsidR="007442F7" w:rsidRPr="007442F7" w:rsidRDefault="007442F7" w:rsidP="007442F7">
            <w:pPr>
              <w:rPr>
                <w:rFonts w:ascii="Garamond" w:hAnsi="Garamond"/>
                <w:sz w:val="24"/>
                <w:szCs w:val="24"/>
              </w:rPr>
            </w:pPr>
            <w:r w:rsidRPr="007442F7">
              <w:rPr>
                <w:rFonts w:ascii="Garamond" w:hAnsi="Garamond"/>
                <w:b/>
                <w:sz w:val="24"/>
                <w:szCs w:val="24"/>
              </w:rPr>
              <w:t>Miesto dodania</w:t>
            </w:r>
            <w:r w:rsidRPr="007442F7">
              <w:rPr>
                <w:rFonts w:ascii="Garamond" w:hAnsi="Garamond"/>
                <w:sz w:val="24"/>
                <w:szCs w:val="24"/>
              </w:rPr>
              <w:t>: Slovenská republika</w:t>
            </w:r>
          </w:p>
        </w:tc>
      </w:tr>
      <w:tr w:rsidR="007442F7" w14:paraId="447BD637" w14:textId="77777777" w:rsidTr="00176AFB">
        <w:trPr>
          <w:trHeight w:val="454"/>
        </w:trPr>
        <w:tc>
          <w:tcPr>
            <w:tcW w:w="9062" w:type="dxa"/>
            <w:gridSpan w:val="2"/>
            <w:vAlign w:val="center"/>
          </w:tcPr>
          <w:p w14:paraId="3A5AB26D" w14:textId="77777777" w:rsidR="007442F7" w:rsidRPr="007442F7" w:rsidRDefault="007442F7" w:rsidP="007442F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442F7">
              <w:rPr>
                <w:rFonts w:ascii="Garamond" w:hAnsi="Garamond"/>
                <w:b/>
                <w:sz w:val="24"/>
                <w:szCs w:val="24"/>
              </w:rPr>
              <w:t>Miesto konkrétneho plnenia pre verejného obstarávateľa (VšZP):</w:t>
            </w:r>
          </w:p>
        </w:tc>
      </w:tr>
      <w:tr w:rsidR="007442F7" w14:paraId="57F68211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5DD5D4EB" w14:textId="77777777" w:rsidR="007442F7" w:rsidRPr="007442F7" w:rsidRDefault="007442F7" w:rsidP="007442F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442F7">
              <w:rPr>
                <w:rFonts w:ascii="Garamond" w:hAnsi="Garamond"/>
                <w:b/>
                <w:sz w:val="24"/>
                <w:szCs w:val="24"/>
              </w:rPr>
              <w:t>Názov</w:t>
            </w:r>
          </w:p>
        </w:tc>
        <w:tc>
          <w:tcPr>
            <w:tcW w:w="4531" w:type="dxa"/>
            <w:vAlign w:val="center"/>
          </w:tcPr>
          <w:p w14:paraId="6F562C83" w14:textId="77777777" w:rsidR="007442F7" w:rsidRPr="007442F7" w:rsidRDefault="007442F7" w:rsidP="007442F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442F7">
              <w:rPr>
                <w:rFonts w:ascii="Garamond" w:hAnsi="Garamond"/>
                <w:b/>
                <w:sz w:val="24"/>
                <w:szCs w:val="24"/>
              </w:rPr>
              <w:t>Sídlo</w:t>
            </w:r>
          </w:p>
        </w:tc>
      </w:tr>
      <w:tr w:rsidR="005A5A1E" w14:paraId="7590676E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26E8B658" w14:textId="77777777" w:rsidR="005A5A1E" w:rsidRPr="007442F7" w:rsidRDefault="007442F7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442F7">
              <w:rPr>
                <w:rFonts w:ascii="Garamond" w:hAnsi="Garamond"/>
                <w:b/>
                <w:sz w:val="24"/>
                <w:szCs w:val="24"/>
              </w:rPr>
              <w:t>Všeobecná zdravotná poisťovňa, a.s.</w:t>
            </w:r>
          </w:p>
        </w:tc>
        <w:tc>
          <w:tcPr>
            <w:tcW w:w="4531" w:type="dxa"/>
            <w:vAlign w:val="center"/>
          </w:tcPr>
          <w:p w14:paraId="48A82496" w14:textId="77777777" w:rsidR="007442F7" w:rsidRPr="007442F7" w:rsidRDefault="007442F7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442F7">
              <w:rPr>
                <w:rFonts w:ascii="Garamond" w:hAnsi="Garamond"/>
                <w:b/>
                <w:sz w:val="24"/>
                <w:szCs w:val="24"/>
              </w:rPr>
              <w:t>Panónska cesta 2, 851 04  Bratislava</w:t>
            </w:r>
          </w:p>
        </w:tc>
      </w:tr>
      <w:tr w:rsidR="00176AFB" w14:paraId="4602AA92" w14:textId="77777777" w:rsidTr="00176AFB">
        <w:trPr>
          <w:trHeight w:val="454"/>
        </w:trPr>
        <w:tc>
          <w:tcPr>
            <w:tcW w:w="4531" w:type="dxa"/>
            <w:vMerge w:val="restart"/>
            <w:vAlign w:val="center"/>
          </w:tcPr>
          <w:p w14:paraId="3FDCD81A" w14:textId="77777777" w:rsidR="00176AFB" w:rsidRPr="007442F7" w:rsidRDefault="00176AFB" w:rsidP="005A5A1E">
            <w:pPr>
              <w:rPr>
                <w:rFonts w:ascii="Garamond" w:hAnsi="Garamond"/>
                <w:sz w:val="24"/>
                <w:szCs w:val="24"/>
              </w:rPr>
            </w:pPr>
            <w:r w:rsidRPr="002E684D">
              <w:rPr>
                <w:rFonts w:ascii="Garamond" w:hAnsi="Garamond"/>
                <w:b/>
                <w:sz w:val="24"/>
                <w:szCs w:val="24"/>
              </w:rPr>
              <w:t>Pobočka Bratislava</w:t>
            </w:r>
          </w:p>
        </w:tc>
        <w:tc>
          <w:tcPr>
            <w:tcW w:w="4531" w:type="dxa"/>
            <w:vAlign w:val="center"/>
          </w:tcPr>
          <w:p w14:paraId="165B4214" w14:textId="77777777" w:rsidR="00176AFB" w:rsidRPr="007442F7" w:rsidRDefault="00176AFB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Mamateyova 17, 851 04  Bratislava</w:t>
            </w:r>
          </w:p>
        </w:tc>
      </w:tr>
      <w:tr w:rsidR="00176AFB" w14:paraId="3423F56F" w14:textId="77777777" w:rsidTr="00176AFB">
        <w:trPr>
          <w:trHeight w:val="454"/>
        </w:trPr>
        <w:tc>
          <w:tcPr>
            <w:tcW w:w="4531" w:type="dxa"/>
            <w:vMerge/>
            <w:vAlign w:val="center"/>
          </w:tcPr>
          <w:p w14:paraId="6F566A71" w14:textId="77777777" w:rsidR="00176AFB" w:rsidRDefault="00176AFB" w:rsidP="005A5A1E">
            <w:pPr>
              <w:rPr>
                <w:rFonts w:ascii="Garamond" w:hAnsi="Garamond"/>
              </w:rPr>
            </w:pPr>
          </w:p>
        </w:tc>
        <w:tc>
          <w:tcPr>
            <w:tcW w:w="4531" w:type="dxa"/>
            <w:vAlign w:val="center"/>
          </w:tcPr>
          <w:p w14:paraId="613E7539" w14:textId="77777777" w:rsidR="00176AFB" w:rsidRDefault="00176AFB" w:rsidP="005A5A1E">
            <w:pPr>
              <w:rPr>
                <w:rFonts w:ascii="Garamond" w:hAnsi="Garamond"/>
              </w:rPr>
            </w:pPr>
            <w:r w:rsidRPr="00176AFB">
              <w:rPr>
                <w:rFonts w:ascii="Garamond" w:hAnsi="Garamond"/>
                <w:sz w:val="24"/>
                <w:szCs w:val="24"/>
              </w:rPr>
              <w:t>Ondavská</w:t>
            </w:r>
            <w:r>
              <w:rPr>
                <w:rFonts w:ascii="Garamond" w:hAnsi="Garamond"/>
                <w:sz w:val="24"/>
                <w:szCs w:val="24"/>
              </w:rPr>
              <w:t xml:space="preserve"> 3, 825 21  Bratislava</w:t>
            </w:r>
          </w:p>
        </w:tc>
      </w:tr>
      <w:tr w:rsidR="007442F7" w14:paraId="63CC8252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628B621D" w14:textId="77777777" w:rsidR="002E684D" w:rsidRP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Trnava</w:t>
            </w:r>
          </w:p>
        </w:tc>
        <w:tc>
          <w:tcPr>
            <w:tcW w:w="4531" w:type="dxa"/>
            <w:vAlign w:val="center"/>
          </w:tcPr>
          <w:p w14:paraId="183FD49E" w14:textId="77777777" w:rsidR="007442F7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Halenárska 7434/22, 917 02  Trnava</w:t>
            </w:r>
          </w:p>
        </w:tc>
      </w:tr>
      <w:tr w:rsidR="007442F7" w14:paraId="2CC153AA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37B06439" w14:textId="77777777" w:rsidR="007442F7" w:rsidRP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Trenčín</w:t>
            </w:r>
          </w:p>
        </w:tc>
        <w:tc>
          <w:tcPr>
            <w:tcW w:w="4531" w:type="dxa"/>
            <w:vAlign w:val="center"/>
          </w:tcPr>
          <w:p w14:paraId="0501AFC9" w14:textId="77777777" w:rsidR="007442F7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Partizánska 2315, 911 01  Trenčín</w:t>
            </w:r>
          </w:p>
        </w:tc>
      </w:tr>
      <w:tr w:rsidR="007442F7" w14:paraId="57F9DED2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0FB36997" w14:textId="77777777" w:rsidR="007442F7" w:rsidRP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Nitra</w:t>
            </w:r>
          </w:p>
        </w:tc>
        <w:tc>
          <w:tcPr>
            <w:tcW w:w="4531" w:type="dxa"/>
            <w:vAlign w:val="center"/>
          </w:tcPr>
          <w:p w14:paraId="70E68E9C" w14:textId="77777777" w:rsidR="002E684D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Mostná 58, 949 01  Nitra</w:t>
            </w:r>
          </w:p>
        </w:tc>
      </w:tr>
      <w:tr w:rsidR="007442F7" w14:paraId="0B6A50AC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27E60AB6" w14:textId="77777777" w:rsidR="007442F7" w:rsidRP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Banská Bystrica</w:t>
            </w:r>
          </w:p>
        </w:tc>
        <w:tc>
          <w:tcPr>
            <w:tcW w:w="4531" w:type="dxa"/>
            <w:vAlign w:val="center"/>
          </w:tcPr>
          <w:p w14:paraId="3F35BB96" w14:textId="77777777" w:rsidR="007442F7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Skuteckého 956/20,  974 01  B. Bystrica </w:t>
            </w:r>
          </w:p>
        </w:tc>
      </w:tr>
      <w:tr w:rsidR="00E328F1" w14:paraId="59F9B85A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08A58E89" w14:textId="77777777" w:rsidR="00E328F1" w:rsidRP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Žilina</w:t>
            </w:r>
          </w:p>
        </w:tc>
        <w:tc>
          <w:tcPr>
            <w:tcW w:w="4531" w:type="dxa"/>
            <w:vAlign w:val="center"/>
          </w:tcPr>
          <w:p w14:paraId="5259CC26" w14:textId="77777777" w:rsidR="00E328F1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P. O. Hviezdoslava 798/26, 010 01  Žilina </w:t>
            </w:r>
          </w:p>
        </w:tc>
      </w:tr>
      <w:tr w:rsidR="002E684D" w14:paraId="6B7F470A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5C2239C6" w14:textId="77777777" w:rsid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Košice</w:t>
            </w:r>
          </w:p>
        </w:tc>
        <w:tc>
          <w:tcPr>
            <w:tcW w:w="4531" w:type="dxa"/>
            <w:vAlign w:val="center"/>
          </w:tcPr>
          <w:p w14:paraId="280F3C0B" w14:textId="77777777" w:rsidR="002E684D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Senný trh 333/1, 040 01  Košice</w:t>
            </w:r>
          </w:p>
        </w:tc>
      </w:tr>
      <w:tr w:rsidR="002E684D" w14:paraId="193C998C" w14:textId="77777777" w:rsidTr="00176AFB">
        <w:trPr>
          <w:trHeight w:val="454"/>
        </w:trPr>
        <w:tc>
          <w:tcPr>
            <w:tcW w:w="4531" w:type="dxa"/>
            <w:vAlign w:val="center"/>
          </w:tcPr>
          <w:p w14:paraId="0CD52AB2" w14:textId="77777777" w:rsidR="002E684D" w:rsidRDefault="002E684D" w:rsidP="005A5A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Pobočka Prešov</w:t>
            </w:r>
          </w:p>
        </w:tc>
        <w:tc>
          <w:tcPr>
            <w:tcW w:w="4531" w:type="dxa"/>
            <w:vAlign w:val="center"/>
          </w:tcPr>
          <w:p w14:paraId="68D39D0B" w14:textId="77777777" w:rsidR="002E684D" w:rsidRPr="002E684D" w:rsidRDefault="002E684D" w:rsidP="005A5A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Kúpeľná 3914/5, 080 01  Prešov</w:t>
            </w:r>
          </w:p>
        </w:tc>
      </w:tr>
    </w:tbl>
    <w:p w14:paraId="71A9BAB1" w14:textId="77777777" w:rsidR="002E684D" w:rsidRDefault="002E684D" w:rsidP="005A5A1E">
      <w:pPr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176C1343" w14:textId="77777777" w:rsidR="005A5A1E" w:rsidRPr="002E684D" w:rsidRDefault="002E684D" w:rsidP="005A5A1E">
      <w:pPr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2E684D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Verejný obstarávateľ si vyhradzuje možnosť rozšírenia miest dodania pre</w:t>
      </w:r>
      <w:r w:rsidR="008F27AB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2E684D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potreby </w:t>
      </w:r>
      <w:r w:rsidR="00C218F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VšZP, a.s..</w:t>
      </w:r>
    </w:p>
    <w:p w14:paraId="282BA7AA" w14:textId="77777777" w:rsidR="005A5A1E" w:rsidRDefault="005A5A1E" w:rsidP="005A5A1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2DCBF2AF" w14:textId="77777777" w:rsidR="005A5A1E" w:rsidRPr="00971550" w:rsidRDefault="005A5A1E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5A5A1E">
        <w:rPr>
          <w:rFonts w:ascii="Garamond" w:hAnsi="Garamond"/>
        </w:rPr>
        <w:t>V prípade, že si to bude predmet konkrétnej zákazky vyžadovať, verejný obstarávateľ bude</w:t>
      </w:r>
      <w:r w:rsidRPr="005A5A1E">
        <w:rPr>
          <w:rFonts w:ascii="Garamond" w:hAnsi="Garamond"/>
        </w:rPr>
        <w:br/>
        <w:t>uplatňovať environmentálne a sociálne aspekty verejného obstarávania</w:t>
      </w:r>
    </w:p>
    <w:p w14:paraId="0429F9D2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961A363" w14:textId="77777777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</w:t>
      </w:r>
      <w:r w:rsidR="005A5A1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čestných vyhlásení,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odborných certifikátov, oprávnení na vykonávanie štátom regulovaných živností, prípadne iných nevyhnutných dokladov potrebných na to, aby sa </w:t>
      </w:r>
      <w:r w:rsidR="005A5A1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verejný obstarávateľ uistil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lastRenderedPageBreak/>
        <w:t xml:space="preserve">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="005A5A1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na profesionálnej úrovni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A5A1E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a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v súlade s platnými právnymi predpismi. </w:t>
      </w:r>
    </w:p>
    <w:p w14:paraId="11C5EC5A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7108F4EF" w14:textId="77777777"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14:paraId="7FA97686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</w:t>
      </w:r>
      <w:r w:rsidR="00C218F6">
        <w:rPr>
          <w:rFonts w:ascii="Garamond" w:hAnsi="Garamond"/>
          <w:szCs w:val="20"/>
        </w:rPr>
        <w:t>odanie tovaru do miesta dodania</w:t>
      </w:r>
    </w:p>
    <w:p w14:paraId="2334DCB5" w14:textId="77777777" w:rsidR="00220668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</w:t>
      </w:r>
      <w:r w:rsidR="00C218F6">
        <w:rPr>
          <w:rFonts w:ascii="Garamond" w:hAnsi="Garamond"/>
          <w:szCs w:val="20"/>
        </w:rPr>
        <w:t xml:space="preserve"> a vynesenie, v prípade potreby zapojenie </w:t>
      </w:r>
      <w:r w:rsidRPr="00971550">
        <w:rPr>
          <w:rFonts w:ascii="Garamond" w:hAnsi="Garamond"/>
          <w:szCs w:val="20"/>
        </w:rPr>
        <w:t>tovaru</w:t>
      </w:r>
      <w:r w:rsidR="00C218F6">
        <w:rPr>
          <w:rFonts w:ascii="Garamond" w:hAnsi="Garamond"/>
          <w:szCs w:val="20"/>
        </w:rPr>
        <w:t>,</w:t>
      </w:r>
      <w:r w:rsidRPr="00971550">
        <w:rPr>
          <w:rFonts w:ascii="Garamond" w:hAnsi="Garamond"/>
          <w:szCs w:val="20"/>
        </w:rPr>
        <w:t xml:space="preserve"> v mieste dodania</w:t>
      </w:r>
    </w:p>
    <w:p w14:paraId="3E03C021" w14:textId="77777777" w:rsidR="00C218F6" w:rsidRPr="00971550" w:rsidRDefault="00C218F6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odvoz a likvidácia vyradeného nepotrebného tovaru</w:t>
      </w:r>
    </w:p>
    <w:p w14:paraId="30EE8A8E" w14:textId="77777777"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4A4637E3" w14:textId="77777777" w:rsidR="00841FDF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Dodávaný tovar musia byť </w:t>
      </w:r>
      <w:r w:rsidR="001328CA">
        <w:rPr>
          <w:rFonts w:ascii="Garamond" w:hAnsi="Garamond"/>
        </w:rPr>
        <w:t xml:space="preserve">zariadenia a licencie </w:t>
      </w:r>
      <w:r w:rsidR="00917698">
        <w:rPr>
          <w:rFonts w:ascii="Garamond" w:hAnsi="Garamond"/>
        </w:rPr>
        <w:t>v súlade s obchodnými podmienkami pre každú výzvu v DNS</w:t>
      </w:r>
      <w:r w:rsidRPr="00971550">
        <w:rPr>
          <w:rFonts w:ascii="Garamond" w:hAnsi="Garamond"/>
        </w:rPr>
        <w:t>.</w:t>
      </w:r>
    </w:p>
    <w:p w14:paraId="02DAD231" w14:textId="77777777" w:rsidR="000960DB" w:rsidRDefault="000960DB" w:rsidP="000960DB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FBE434C" w14:textId="77777777" w:rsidR="000960DB" w:rsidRPr="000960DB" w:rsidRDefault="000960DB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="Microsoft Sans Serif" w:hAnsi="Garamond"/>
        </w:rPr>
      </w:pPr>
      <w:r w:rsidRPr="000960DB">
        <w:rPr>
          <w:rFonts w:ascii="Garamond" w:eastAsia="Microsoft Sans Serif" w:hAnsi="Garamond"/>
        </w:rPr>
        <w:t>Predkladanie ponúk v rámci vyhlásených zákaziek bude umožnené v zmysle zákona len</w:t>
      </w:r>
      <w:r w:rsidRPr="000960DB">
        <w:rPr>
          <w:rFonts w:ascii="Garamond" w:eastAsia="Microsoft Sans Serif" w:hAnsi="Garamond"/>
        </w:rPr>
        <w:br/>
        <w:t>zaradeným záujemcom. Verejný obstarávateľ bude vyhlasovať jednotlivé zákazky</w:t>
      </w:r>
      <w:r w:rsidRPr="000960DB">
        <w:rPr>
          <w:rFonts w:ascii="Garamond" w:eastAsia="Microsoft Sans Serif" w:hAnsi="Garamond"/>
        </w:rPr>
        <w:br/>
        <w:t>odoslaním výzvy na predkladanie ponúk všetkým zaradeným záujemcom naraz</w:t>
      </w:r>
      <w:r w:rsidRPr="000960DB">
        <w:rPr>
          <w:rFonts w:ascii="Garamond" w:eastAsia="Microsoft Sans Serif" w:hAnsi="Garamond"/>
        </w:rPr>
        <w:br/>
        <w:t>(zabezpečuje systém JOSEPHINE). Verejný obstarávateľ nesmie vyhlásiť zákazku v</w:t>
      </w:r>
      <w:r w:rsidRPr="000960DB">
        <w:rPr>
          <w:rFonts w:ascii="Garamond" w:eastAsia="Microsoft Sans Serif" w:hAnsi="Garamond"/>
        </w:rPr>
        <w:br/>
        <w:t>prípade, ak eviduje nevyhodnotenú žiadosť o zaradenie hospodárskeho subjektu.</w:t>
      </w:r>
    </w:p>
    <w:p w14:paraId="61287581" w14:textId="77777777" w:rsidR="00220668" w:rsidRPr="00971550" w:rsidRDefault="00220668" w:rsidP="0022066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6830BDDD" w14:textId="77777777" w:rsidR="000968B8" w:rsidRDefault="000968B8" w:rsidP="001328C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="Microsoft Sans Serif" w:hAnsi="Garamond"/>
        </w:rPr>
      </w:pPr>
      <w:r w:rsidRPr="001328CA">
        <w:rPr>
          <w:rFonts w:ascii="Garamond" w:eastAsia="Microsoft Sans Serif" w:hAnsi="Garamond"/>
        </w:rPr>
        <w:t xml:space="preserve">V prípade, že úspešný uchádzač pred </w:t>
      </w:r>
      <w:r w:rsidR="00C218F6">
        <w:rPr>
          <w:rFonts w:ascii="Garamond" w:eastAsia="Microsoft Sans Serif" w:hAnsi="Garamond"/>
        </w:rPr>
        <w:t xml:space="preserve">vystavením objednávky poprípade </w:t>
      </w:r>
      <w:r w:rsidRPr="001328CA">
        <w:rPr>
          <w:rFonts w:ascii="Garamond" w:eastAsia="Microsoft Sans Serif" w:hAnsi="Garamond"/>
        </w:rPr>
        <w:t xml:space="preserve">podpisom kúpnej zmluvy v lehote do 10 pracovných dní odo dňa uplynutia lehoty podľa § 56 ods. 4 až 6 </w:t>
      </w:r>
      <w:r w:rsidR="00EE263B" w:rsidRPr="001328CA">
        <w:rPr>
          <w:rFonts w:ascii="Garamond" w:eastAsia="Microsoft Sans Serif" w:hAnsi="Garamond"/>
        </w:rPr>
        <w:t>zákona</w:t>
      </w:r>
      <w:r w:rsidR="0024024F" w:rsidRPr="001328CA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1328CA">
        <w:rPr>
          <w:rFonts w:ascii="Garamond" w:eastAsia="Microsoft Sans Serif" w:hAnsi="Garamond"/>
          <w:b/>
          <w:bCs/>
        </w:rPr>
        <w:t>ZVO</w:t>
      </w:r>
      <w:r w:rsidR="0024024F" w:rsidRPr="001328CA">
        <w:rPr>
          <w:rFonts w:ascii="Garamond" w:eastAsia="Microsoft Sans Serif" w:hAnsi="Garamond"/>
        </w:rPr>
        <w:t>“)</w:t>
      </w:r>
      <w:r w:rsidRPr="001328CA">
        <w:rPr>
          <w:rFonts w:ascii="Garamond" w:eastAsia="Microsoft Sans Serif" w:hAnsi="Garamond"/>
        </w:rPr>
        <w:t xml:space="preserve">, ak bol na </w:t>
      </w:r>
      <w:r w:rsidR="00C218F6">
        <w:rPr>
          <w:rFonts w:ascii="Garamond" w:eastAsia="Microsoft Sans Serif" w:hAnsi="Garamond"/>
        </w:rPr>
        <w:t xml:space="preserve">vystavenie objednávky, </w:t>
      </w:r>
      <w:r w:rsidRPr="001328CA">
        <w:rPr>
          <w:rFonts w:ascii="Garamond" w:eastAsia="Microsoft Sans Serif" w:hAnsi="Garamond"/>
        </w:rPr>
        <w:t>uzavretie kúpnej zmluvy písomne vyzvaný, nepredloží doklady a/alebo dokumenty uvedené v</w:t>
      </w:r>
      <w:r w:rsidR="00EE263B" w:rsidRPr="001328CA">
        <w:rPr>
          <w:rFonts w:ascii="Garamond" w:eastAsia="Microsoft Sans Serif" w:hAnsi="Garamond"/>
        </w:rPr>
        <w:t> </w:t>
      </w:r>
      <w:r w:rsidRPr="001328CA">
        <w:rPr>
          <w:rFonts w:ascii="Garamond" w:eastAsia="Microsoft Sans Serif" w:hAnsi="Garamond"/>
        </w:rPr>
        <w:t>bode</w:t>
      </w:r>
      <w:r w:rsidR="00EE263B" w:rsidRPr="001328CA">
        <w:rPr>
          <w:rFonts w:ascii="Garamond" w:eastAsia="Microsoft Sans Serif" w:hAnsi="Garamond"/>
        </w:rPr>
        <w:t xml:space="preserve"> 8</w:t>
      </w:r>
      <w:r w:rsidRPr="001328CA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1328CA">
        <w:rPr>
          <w:rFonts w:ascii="Garamond" w:eastAsia="Microsoft Sans Serif" w:hAnsi="Garamond"/>
        </w:rPr>
        <w:t>zákonom</w:t>
      </w:r>
      <w:r w:rsidR="00971550" w:rsidRPr="001328CA">
        <w:rPr>
          <w:rFonts w:ascii="Garamond" w:eastAsia="Microsoft Sans Serif" w:hAnsi="Garamond"/>
        </w:rPr>
        <w:t xml:space="preserve"> </w:t>
      </w:r>
      <w:r w:rsidR="0024024F" w:rsidRPr="001328CA">
        <w:rPr>
          <w:rFonts w:ascii="Garamond" w:eastAsia="Microsoft Sans Serif" w:hAnsi="Garamond"/>
        </w:rPr>
        <w:t>č.</w:t>
      </w:r>
      <w:r w:rsidR="00917698" w:rsidRPr="001328CA">
        <w:rPr>
          <w:rFonts w:ascii="Garamond" w:eastAsia="Microsoft Sans Serif" w:hAnsi="Garamond"/>
        </w:rPr>
        <w:t> </w:t>
      </w:r>
      <w:r w:rsidR="0024024F" w:rsidRPr="001328CA">
        <w:rPr>
          <w:rFonts w:ascii="Garamond" w:eastAsia="Microsoft Sans Serif" w:hAnsi="Garamond"/>
        </w:rPr>
        <w:t>315/2016 Z. z. o registri partnerov verejného sektora a o zmene a doplnení niektorých zákonov v znení neskorších predpisov</w:t>
      </w:r>
      <w:r w:rsidRPr="001328CA">
        <w:rPr>
          <w:rFonts w:ascii="Garamond" w:eastAsia="Microsoft Sans Serif" w:hAnsi="Garamond"/>
        </w:rPr>
        <w:t xml:space="preserve">, </w:t>
      </w:r>
      <w:r w:rsidR="00EE263B" w:rsidRPr="001328CA">
        <w:rPr>
          <w:rFonts w:ascii="Garamond" w:eastAsia="Microsoft Sans Serif" w:hAnsi="Garamond"/>
        </w:rPr>
        <w:t>obstarávateľská organizácia</w:t>
      </w:r>
      <w:r w:rsidRPr="001328CA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1328CA">
        <w:rPr>
          <w:rFonts w:ascii="Garamond" w:eastAsia="Microsoft Sans Serif" w:hAnsi="Garamond"/>
        </w:rPr>
        <w:t xml:space="preserve">spôsobom </w:t>
      </w:r>
      <w:r w:rsidRPr="001328CA">
        <w:rPr>
          <w:rFonts w:ascii="Garamond" w:eastAsia="Microsoft Sans Serif" w:hAnsi="Garamond"/>
        </w:rPr>
        <w:t xml:space="preserve">podľa </w:t>
      </w:r>
      <w:r w:rsidR="0024024F" w:rsidRPr="001328CA">
        <w:rPr>
          <w:rFonts w:ascii="Garamond" w:eastAsia="Microsoft Sans Serif" w:hAnsi="Garamond"/>
        </w:rPr>
        <w:t>ZVO</w:t>
      </w:r>
      <w:r w:rsidRPr="001328CA">
        <w:rPr>
          <w:rFonts w:ascii="Garamond" w:eastAsia="Microsoft Sans Serif" w:hAnsi="Garamond"/>
        </w:rPr>
        <w:t>.</w:t>
      </w:r>
    </w:p>
    <w:p w14:paraId="30F0A59F" w14:textId="77777777" w:rsidR="000C7511" w:rsidRDefault="000C7511" w:rsidP="000C7511">
      <w:pPr>
        <w:pStyle w:val="Odsekzoznamu"/>
        <w:rPr>
          <w:rFonts w:ascii="Garamond" w:eastAsia="Microsoft Sans Serif" w:hAnsi="Garamond"/>
        </w:rPr>
      </w:pPr>
    </w:p>
    <w:p w14:paraId="6712CC7D" w14:textId="77777777" w:rsidR="00A15895" w:rsidRDefault="00A15895" w:rsidP="00996260">
      <w:pPr>
        <w:pStyle w:val="Default"/>
        <w:spacing w:line="271" w:lineRule="auto"/>
        <w:jc w:val="center"/>
        <w:rPr>
          <w:rFonts w:ascii="Garamond" w:eastAsia="Microsoft Sans Serif" w:hAnsi="Garamond"/>
          <w:b/>
          <w:bCs/>
        </w:rPr>
      </w:pPr>
    </w:p>
    <w:p w14:paraId="573BD54A" w14:textId="77777777" w:rsidR="00A15895" w:rsidRPr="00296FC4" w:rsidRDefault="00A15895" w:rsidP="00296FC4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="Microsoft Sans Serif" w:hAnsi="Garamond"/>
        </w:rPr>
      </w:pPr>
      <w:r w:rsidRPr="00296FC4">
        <w:rPr>
          <w:rFonts w:ascii="Garamond" w:eastAsia="Microsoft Sans Serif" w:hAnsi="Garamond"/>
        </w:rPr>
        <w:t>POŽIADAVKY NA ENVIRONMENTÁLNOSŤ DODANÝCH ZARIADENÍ</w:t>
      </w:r>
    </w:p>
    <w:p w14:paraId="2D7257B8" w14:textId="77777777" w:rsidR="00A15895" w:rsidRPr="00A1589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</w:p>
    <w:p w14:paraId="169BED89" w14:textId="77777777" w:rsidR="00A15895" w:rsidRPr="00E33A3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  <w:r w:rsidRPr="00E33A35">
        <w:rPr>
          <w:rFonts w:ascii="Garamond" w:eastAsia="Microsoft Sans Serif" w:hAnsi="Garamond"/>
        </w:rPr>
        <w:t>Manuál/návod na použitie musí obsahovať inštrukcie na úsporu energi</w:t>
      </w:r>
      <w:r w:rsidR="000553BE">
        <w:rPr>
          <w:rFonts w:ascii="Garamond" w:eastAsia="Microsoft Sans Serif" w:hAnsi="Garamond"/>
        </w:rPr>
        <w:t xml:space="preserve">e a byť napísaný v slovenskom alebo českom jazyku.  </w:t>
      </w:r>
    </w:p>
    <w:p w14:paraId="76F46361" w14:textId="77777777" w:rsidR="00A15895" w:rsidRPr="00A1589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  <w:r w:rsidRPr="00E33A35">
        <w:rPr>
          <w:rFonts w:ascii="Garamond" w:eastAsia="Microsoft Sans Serif" w:hAnsi="Garamond"/>
        </w:rPr>
        <w:t>Balenie z lepenky musí byť vyrobené z minimálne 50% recyklovaného materiálu. Plastový obal musí byť vyrobený z minimálne 50% recyklovaného materiálu alebo musí byť biologicky rozložiteľný alebo kompostovateľný.</w:t>
      </w:r>
    </w:p>
    <w:p w14:paraId="18956C70" w14:textId="77777777" w:rsidR="00A15895" w:rsidRPr="00A1589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</w:p>
    <w:p w14:paraId="376DC341" w14:textId="77777777" w:rsidR="00A15895" w:rsidRPr="00E33A3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  <w:r w:rsidRPr="00E33A35">
        <w:rPr>
          <w:rFonts w:ascii="Garamond" w:eastAsia="Microsoft Sans Serif" w:hAnsi="Garamond"/>
        </w:rPr>
        <w:t>Prenosné zariadenia nesmú mať na pevno zabudovanú dobíjateľnú batériu, musí sa dať vymeniť. Inštrukcie na odstránenie dobíjateľných batérií musia byť  uvedené v návodoch pre užívateľov alebo dostupné na internetovej stránke výrobcu.</w:t>
      </w:r>
    </w:p>
    <w:p w14:paraId="08E861CB" w14:textId="77777777" w:rsidR="00A15895" w:rsidRPr="00E33A3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  <w:r w:rsidRPr="00E33A35">
        <w:rPr>
          <w:rFonts w:ascii="Garamond" w:eastAsia="Microsoft Sans Serif" w:hAnsi="Garamond"/>
        </w:rPr>
        <w:t>Vonkajšie plastové puzdrá, kryty a rámy s hmotnosťou väčšou ako 100g a plochou väčšou ako 50 cm2 musia byť označené v súlade s ISO11469 a ISO 1043-1.</w:t>
      </w:r>
    </w:p>
    <w:p w14:paraId="55FC5FAB" w14:textId="77777777" w:rsidR="00A15895" w:rsidRPr="00A15895" w:rsidRDefault="00A15895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  <w:r w:rsidRPr="00E33A35">
        <w:rPr>
          <w:rFonts w:ascii="Garamond" w:eastAsia="Microsoft Sans Serif" w:hAnsi="Garamond"/>
        </w:rPr>
        <w:t>Pre stanovený súpis zariadenia so skončenou životnosťou musí byť poskytnutá možnosť opätovného použitia a recyklácie, a musí byť podaná správa o podiele opätovne použitého alebo recyklovaného zariadenia.</w:t>
      </w:r>
      <w:r w:rsidRPr="00A15895">
        <w:rPr>
          <w:rFonts w:ascii="Garamond" w:eastAsia="Microsoft Sans Serif" w:hAnsi="Garamond"/>
        </w:rPr>
        <w:t xml:space="preserve"> </w:t>
      </w:r>
    </w:p>
    <w:p w14:paraId="4DEF026E" w14:textId="77777777" w:rsidR="000C7511" w:rsidRDefault="000C7511" w:rsidP="00A15895">
      <w:pPr>
        <w:pStyle w:val="Default"/>
        <w:spacing w:line="271" w:lineRule="auto"/>
        <w:jc w:val="both"/>
        <w:rPr>
          <w:rFonts w:ascii="Garamond" w:eastAsia="Microsoft Sans Serif" w:hAnsi="Garamond"/>
        </w:rPr>
      </w:pPr>
    </w:p>
    <w:sectPr w:rsidR="000C751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DB0E" w14:textId="77777777" w:rsidR="0088222C" w:rsidRDefault="0088222C" w:rsidP="008023A2">
      <w:r>
        <w:separator/>
      </w:r>
    </w:p>
  </w:endnote>
  <w:endnote w:type="continuationSeparator" w:id="0">
    <w:p w14:paraId="64902798" w14:textId="77777777" w:rsidR="0088222C" w:rsidRDefault="0088222C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06E1" w14:textId="77777777" w:rsidR="0088222C" w:rsidRDefault="0088222C" w:rsidP="008023A2">
      <w:r>
        <w:separator/>
      </w:r>
    </w:p>
  </w:footnote>
  <w:footnote w:type="continuationSeparator" w:id="0">
    <w:p w14:paraId="1DA4200E" w14:textId="77777777" w:rsidR="0088222C" w:rsidRDefault="0088222C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598D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A6"/>
    <w:multiLevelType w:val="hybridMultilevel"/>
    <w:tmpl w:val="F88E16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6777">
    <w:abstractNumId w:val="1"/>
  </w:num>
  <w:num w:numId="2" w16cid:durableId="951715341">
    <w:abstractNumId w:val="15"/>
  </w:num>
  <w:num w:numId="3" w16cid:durableId="67070446">
    <w:abstractNumId w:val="10"/>
  </w:num>
  <w:num w:numId="4" w16cid:durableId="1705205329">
    <w:abstractNumId w:val="5"/>
  </w:num>
  <w:num w:numId="5" w16cid:durableId="813908535">
    <w:abstractNumId w:val="12"/>
  </w:num>
  <w:num w:numId="6" w16cid:durableId="1690908469">
    <w:abstractNumId w:val="3"/>
  </w:num>
  <w:num w:numId="7" w16cid:durableId="1788507668">
    <w:abstractNumId w:val="16"/>
  </w:num>
  <w:num w:numId="8" w16cid:durableId="760302253">
    <w:abstractNumId w:val="7"/>
  </w:num>
  <w:num w:numId="9" w16cid:durableId="1487741615">
    <w:abstractNumId w:val="14"/>
  </w:num>
  <w:num w:numId="10" w16cid:durableId="946891557">
    <w:abstractNumId w:val="2"/>
  </w:num>
  <w:num w:numId="11" w16cid:durableId="1051147870">
    <w:abstractNumId w:val="9"/>
  </w:num>
  <w:num w:numId="12" w16cid:durableId="753937203">
    <w:abstractNumId w:val="13"/>
  </w:num>
  <w:num w:numId="13" w16cid:durableId="1890025345">
    <w:abstractNumId w:val="6"/>
  </w:num>
  <w:num w:numId="14" w16cid:durableId="429589839">
    <w:abstractNumId w:val="4"/>
  </w:num>
  <w:num w:numId="15" w16cid:durableId="99622939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360040">
    <w:abstractNumId w:val="9"/>
  </w:num>
  <w:num w:numId="17" w16cid:durableId="625501370">
    <w:abstractNumId w:val="9"/>
  </w:num>
  <w:num w:numId="18" w16cid:durableId="1403795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4414116">
    <w:abstractNumId w:val="7"/>
  </w:num>
  <w:num w:numId="20" w16cid:durableId="1318846993">
    <w:abstractNumId w:val="11"/>
  </w:num>
  <w:num w:numId="21" w16cid:durableId="59775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553BE"/>
    <w:rsid w:val="00057BB0"/>
    <w:rsid w:val="00071BE4"/>
    <w:rsid w:val="0009301D"/>
    <w:rsid w:val="000960DB"/>
    <w:rsid w:val="000968B8"/>
    <w:rsid w:val="000A65D5"/>
    <w:rsid w:val="000B7E58"/>
    <w:rsid w:val="000C0249"/>
    <w:rsid w:val="000C7511"/>
    <w:rsid w:val="000E1CF1"/>
    <w:rsid w:val="001328CA"/>
    <w:rsid w:val="001457EE"/>
    <w:rsid w:val="00176AFB"/>
    <w:rsid w:val="001E3DFD"/>
    <w:rsid w:val="001E7EBB"/>
    <w:rsid w:val="001F4B07"/>
    <w:rsid w:val="0020145D"/>
    <w:rsid w:val="00212231"/>
    <w:rsid w:val="00220668"/>
    <w:rsid w:val="0024024F"/>
    <w:rsid w:val="00245A97"/>
    <w:rsid w:val="002936D1"/>
    <w:rsid w:val="00296DD2"/>
    <w:rsid w:val="00296FC4"/>
    <w:rsid w:val="002B79FB"/>
    <w:rsid w:val="002B7B4D"/>
    <w:rsid w:val="002C2E74"/>
    <w:rsid w:val="002D02DA"/>
    <w:rsid w:val="002E684D"/>
    <w:rsid w:val="002F0C6E"/>
    <w:rsid w:val="00383266"/>
    <w:rsid w:val="00387BEC"/>
    <w:rsid w:val="003919C2"/>
    <w:rsid w:val="003A12E8"/>
    <w:rsid w:val="003A19BD"/>
    <w:rsid w:val="003A5AD7"/>
    <w:rsid w:val="003C283B"/>
    <w:rsid w:val="003C2E5E"/>
    <w:rsid w:val="003E1267"/>
    <w:rsid w:val="003F5E28"/>
    <w:rsid w:val="00404FA5"/>
    <w:rsid w:val="00423D30"/>
    <w:rsid w:val="00430E07"/>
    <w:rsid w:val="00441E89"/>
    <w:rsid w:val="004A2640"/>
    <w:rsid w:val="00547650"/>
    <w:rsid w:val="00577023"/>
    <w:rsid w:val="00591AEA"/>
    <w:rsid w:val="005A5A1E"/>
    <w:rsid w:val="0061328F"/>
    <w:rsid w:val="00657E4D"/>
    <w:rsid w:val="00690FA8"/>
    <w:rsid w:val="006965C8"/>
    <w:rsid w:val="006A5218"/>
    <w:rsid w:val="006B1457"/>
    <w:rsid w:val="006B1E08"/>
    <w:rsid w:val="006C4CBC"/>
    <w:rsid w:val="007145CA"/>
    <w:rsid w:val="007150F2"/>
    <w:rsid w:val="007442F7"/>
    <w:rsid w:val="00746789"/>
    <w:rsid w:val="00774762"/>
    <w:rsid w:val="0078312D"/>
    <w:rsid w:val="007D1B0C"/>
    <w:rsid w:val="007D2438"/>
    <w:rsid w:val="008023A2"/>
    <w:rsid w:val="00813DF2"/>
    <w:rsid w:val="00841FDF"/>
    <w:rsid w:val="00853874"/>
    <w:rsid w:val="00880B16"/>
    <w:rsid w:val="0088222C"/>
    <w:rsid w:val="008C1713"/>
    <w:rsid w:val="008D5BEF"/>
    <w:rsid w:val="008F27AB"/>
    <w:rsid w:val="00904440"/>
    <w:rsid w:val="00917698"/>
    <w:rsid w:val="00924CB5"/>
    <w:rsid w:val="00937B27"/>
    <w:rsid w:val="00971550"/>
    <w:rsid w:val="00996260"/>
    <w:rsid w:val="009D0B9E"/>
    <w:rsid w:val="009D6885"/>
    <w:rsid w:val="009F7A9C"/>
    <w:rsid w:val="00A15895"/>
    <w:rsid w:val="00A227C5"/>
    <w:rsid w:val="00A36A8D"/>
    <w:rsid w:val="00A72330"/>
    <w:rsid w:val="00A8640F"/>
    <w:rsid w:val="00AA3F07"/>
    <w:rsid w:val="00AE50AF"/>
    <w:rsid w:val="00AE5DBD"/>
    <w:rsid w:val="00AF592A"/>
    <w:rsid w:val="00B417FB"/>
    <w:rsid w:val="00B734B1"/>
    <w:rsid w:val="00B742B0"/>
    <w:rsid w:val="00B85BF3"/>
    <w:rsid w:val="00B90F6F"/>
    <w:rsid w:val="00BE76EB"/>
    <w:rsid w:val="00C047DC"/>
    <w:rsid w:val="00C0567A"/>
    <w:rsid w:val="00C11C1C"/>
    <w:rsid w:val="00C218F6"/>
    <w:rsid w:val="00C2598E"/>
    <w:rsid w:val="00C4773F"/>
    <w:rsid w:val="00CF19E2"/>
    <w:rsid w:val="00D11C27"/>
    <w:rsid w:val="00D213F0"/>
    <w:rsid w:val="00D248ED"/>
    <w:rsid w:val="00D470EF"/>
    <w:rsid w:val="00D522A4"/>
    <w:rsid w:val="00D7598B"/>
    <w:rsid w:val="00D86BBE"/>
    <w:rsid w:val="00DD0E71"/>
    <w:rsid w:val="00E328F1"/>
    <w:rsid w:val="00E3395A"/>
    <w:rsid w:val="00E33A35"/>
    <w:rsid w:val="00E367E6"/>
    <w:rsid w:val="00E453FB"/>
    <w:rsid w:val="00E81FEA"/>
    <w:rsid w:val="00E8288A"/>
    <w:rsid w:val="00EE263B"/>
    <w:rsid w:val="00EF7D84"/>
    <w:rsid w:val="00F058BB"/>
    <w:rsid w:val="00F27580"/>
    <w:rsid w:val="00F311F4"/>
    <w:rsid w:val="00F625D6"/>
    <w:rsid w:val="00F67314"/>
    <w:rsid w:val="00F96F0B"/>
    <w:rsid w:val="00FA4526"/>
    <w:rsid w:val="00FA5311"/>
    <w:rsid w:val="00FB5F6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B27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fontstyle01">
    <w:name w:val="fontstyle01"/>
    <w:basedOn w:val="Predvolenpsmoodseku"/>
    <w:rsid w:val="006A52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5A5A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Mriekatabuky">
    <w:name w:val="Table Grid"/>
    <w:basedOn w:val="Normlnatabuka"/>
    <w:uiPriority w:val="59"/>
    <w:rsid w:val="005A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1CF0-9AD7-42EB-9B51-1E06C034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Paugschová Natália, Mgr.</cp:lastModifiedBy>
  <cp:revision>3</cp:revision>
  <dcterms:created xsi:type="dcterms:W3CDTF">2025-06-18T12:41:00Z</dcterms:created>
  <dcterms:modified xsi:type="dcterms:W3CDTF">2025-09-04T07:24:00Z</dcterms:modified>
</cp:coreProperties>
</file>