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16"/>
        <w:rPr>
          <w:rFonts w:ascii="Times New Roman" w:cs="Times New Roman" w:eastAsia="Arial" w:hAnsi="Times New Roman"/>
        </w:rPr>
      </w:pPr>
    </w:p>
    <w:p>
      <w:pPr>
        <w:pStyle w:val="style4116"/>
        <w:rPr>
          <w:rFonts w:ascii="Times New Roman" w:cs="Times New Roman" w:eastAsia="Arial" w:hAnsi="Times New Roman"/>
        </w:rPr>
      </w:pPr>
    </w:p>
    <w:p>
      <w:pPr>
        <w:pStyle w:val="style4116"/>
        <w:jc w:val="center"/>
        <w:rPr>
          <w:rFonts w:ascii="Times New Roman" w:cs="Times New Roman" w:hAnsi="Times New Roman"/>
        </w:rPr>
      </w:pPr>
      <w:r>
        <w:rPr>
          <w:rFonts w:ascii="Times New Roman" w:cs="Times New Roman" w:eastAsia="Arial" w:hAnsi="Times New Roman"/>
        </w:rPr>
        <w:t>Verejné obstarávanie realizované postupom zadávania zákazky podľa § 58 až 61 zákona č.</w:t>
      </w:r>
      <w:r>
        <w:rPr>
          <w:rFonts w:ascii="Times New Roman" w:cs="Times New Roman" w:eastAsia="Arial" w:hAnsi="Times New Roman"/>
        </w:rPr>
        <w:t> </w:t>
      </w:r>
      <w:r>
        <w:rPr>
          <w:rFonts w:ascii="Times New Roman" w:cs="Times New Roman" w:eastAsia="Arial" w:hAnsi="Times New Roman"/>
        </w:rPr>
        <w:t>343/2015 Z. z. o verejnom obstarávaní a o zmene a doplnení niektorých zákonov v</w:t>
      </w:r>
      <w:r>
        <w:rPr>
          <w:rFonts w:ascii="Times New Roman" w:cs="Times New Roman" w:eastAsia="Arial" w:hAnsi="Times New Roman"/>
        </w:rPr>
        <w:t> </w:t>
      </w:r>
      <w:r>
        <w:rPr>
          <w:rFonts w:ascii="Times New Roman" w:cs="Times New Roman" w:eastAsia="Arial" w:hAnsi="Times New Roman"/>
        </w:rPr>
        <w:t>znení neskorších predpisov (ďalej len „ZVO“)</w:t>
      </w:r>
      <w:r>
        <w:rPr>
          <w:rFonts w:ascii="Times New Roman" w:cs="Times New Roman" w:eastAsia="Arial" w:hAnsi="Times New Roman"/>
        </w:rPr>
        <w:t>.</w:t>
      </w:r>
    </w:p>
    <w:p>
      <w:pPr>
        <w:pStyle w:val="style0"/>
        <w:tabs>
          <w:tab w:val="right" w:leader="dot" w:pos="10080"/>
        </w:tabs>
        <w:rPr/>
      </w:pPr>
    </w:p>
    <w:p>
      <w:pPr>
        <w:pStyle w:val="style0"/>
        <w:tabs>
          <w:tab w:val="right" w:leader="dot" w:pos="10080"/>
        </w:tabs>
        <w:rPr/>
      </w:pPr>
    </w:p>
    <w:p>
      <w:pPr>
        <w:pStyle w:val="style0"/>
        <w:spacing w:lineRule="auto" w:line="276"/>
        <w:jc w:val="center"/>
        <w:rPr/>
      </w:pPr>
      <w:r>
        <w:rPr>
          <w:noProof/>
        </w:rPr>
        <w:drawing>
          <wp:inline distL="0" distT="0" distB="0" distR="0">
            <wp:extent cx="2838799" cy="2844800"/>
            <wp:effectExtent l="0" t="0" r="0" b="0"/>
            <wp:docPr id="1026" name="Obrázok 1" descr="Obrázok, na ktorom je grafika, pestrofarebnosť, snímka obrazovky, kruh&#10;&#10;Obsah vygenerovaný pomocou AI môže byť nesprávny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38799" cy="284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76"/>
        <w:jc w:val="both"/>
        <w:rPr/>
      </w:pPr>
    </w:p>
    <w:p>
      <w:pPr>
        <w:pStyle w:val="style1"/>
        <w:rPr>
          <w:color w:val="0000cc"/>
        </w:rPr>
      </w:pPr>
      <w:r>
        <w:rPr>
          <w:color w:val="0000cc"/>
        </w:rPr>
        <w:t>SÚŤAŽNÉ PODKLADY</w:t>
      </w:r>
    </w:p>
    <w:p>
      <w:pPr>
        <w:pStyle w:val="style1"/>
        <w:rPr>
          <w:color w:val="0000cc"/>
        </w:rPr>
      </w:pPr>
      <w:r>
        <w:rPr>
          <w:color w:val="0000cc"/>
        </w:rPr>
        <w:t xml:space="preserve">v rámci dynamického nákupného systému </w:t>
      </w:r>
      <w:r>
        <w:rPr>
          <w:color w:val="0000cc"/>
        </w:rPr>
        <w:t>„Zabezpečenie centrálneho nákupu hygienických potrieb pre Hlavné mesto SR Bratislava a ďalšie subjekty“</w:t>
      </w:r>
    </w:p>
    <w:p>
      <w:pPr>
        <w:pStyle w:val="style0"/>
        <w:spacing w:lineRule="auto" w:line="276"/>
        <w:jc w:val="both"/>
        <w:rPr>
          <w:rFonts w:ascii="Calibri Light" w:cs="Calibri Light" w:hAnsi="Calibri Light"/>
          <w:bCs/>
          <w:color w:val="0000cc"/>
          <w:sz w:val="40"/>
          <w:szCs w:val="40"/>
        </w:rPr>
      </w:pPr>
    </w:p>
    <w:p>
      <w:pPr>
        <w:pStyle w:val="style0"/>
        <w:jc w:val="center"/>
        <w:rPr>
          <w:rFonts w:ascii="Calibri Light" w:cs="Calibri Light" w:hAnsi="Calibri Light"/>
          <w:bCs/>
          <w:color w:val="0000cc"/>
          <w:sz w:val="40"/>
          <w:szCs w:val="40"/>
        </w:rPr>
      </w:pPr>
      <w:r>
        <w:rPr>
          <w:rFonts w:ascii="Calibri Light" w:cs="Calibri Light" w:hAnsi="Calibri Light"/>
          <w:bCs/>
          <w:color w:val="0000cc"/>
          <w:sz w:val="40"/>
          <w:szCs w:val="40"/>
          <w:highlight w:val="yellow"/>
        </w:rPr>
        <w:t>„</w:t>
      </w:r>
      <w:r>
        <w:rPr>
          <w:rFonts w:cs="Calibri Light" w:hAnsi="Calibri Light"/>
          <w:bCs/>
          <w:color w:val="0000cc"/>
          <w:sz w:val="40"/>
          <w:szCs w:val="40"/>
          <w:highlight w:val="yellow"/>
          <w:lang w:val="en-US"/>
        </w:rPr>
        <w:t>........................</w:t>
      </w:r>
      <w:r>
        <w:rPr>
          <w:rFonts w:ascii="Calibri Light" w:cs="Calibri Light" w:hAnsi="Calibri Light"/>
          <w:bCs/>
          <w:color w:val="0000cc"/>
          <w:sz w:val="40"/>
          <w:szCs w:val="40"/>
          <w:highlight w:val="yellow"/>
        </w:rPr>
        <w:t>“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verejného obstarávateľa </w:t>
      </w:r>
      <w:r>
        <w:rPr>
          <w:sz w:val="20"/>
          <w:szCs w:val="20"/>
        </w:rPr>
        <w:t>Bratislavské centrum služieb</w:t>
      </w:r>
      <w:r>
        <w:rPr>
          <w:sz w:val="20"/>
          <w:szCs w:val="20"/>
        </w:rPr>
        <w:t>:</w:t>
      </w:r>
    </w:p>
    <w:p>
      <w:pPr>
        <w:pStyle w:val="style0"/>
        <w:spacing w:lineRule="auto" w:line="276"/>
        <w:jc w:val="both"/>
        <w:rPr>
          <w:sz w:val="20"/>
          <w:szCs w:val="20"/>
        </w:rPr>
      </w:pPr>
    </w:p>
    <w:p>
      <w:pPr>
        <w:pStyle w:val="style0"/>
        <w:spacing w:lineRule="auto" w:line="276"/>
        <w:jc w:val="both"/>
        <w:rPr>
          <w:sz w:val="20"/>
          <w:szCs w:val="20"/>
        </w:rPr>
      </w:pPr>
    </w:p>
    <w:p>
      <w:pPr>
        <w:pStyle w:val="style0"/>
        <w:tabs>
          <w:tab w:val="center" w:leader="none" w:pos="708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</w:t>
      </w:r>
    </w:p>
    <w:p>
      <w:pPr>
        <w:pStyle w:val="style0"/>
        <w:tabs>
          <w:tab w:val="center" w:leader="none" w:pos="7088"/>
        </w:tabs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Mgr. Michal Garaj</w:t>
      </w:r>
      <w:r>
        <w:rPr>
          <w:sz w:val="20"/>
          <w:szCs w:val="20"/>
          <w:highlight w:val="yellow"/>
        </w:rPr>
        <w:t>, v. r.</w:t>
      </w:r>
    </w:p>
    <w:p>
      <w:pPr>
        <w:pStyle w:val="style0"/>
        <w:tabs>
          <w:tab w:val="center" w:leader="none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vedúci oddelenia</w:t>
      </w:r>
      <w:r>
        <w:rPr>
          <w:sz w:val="20"/>
          <w:szCs w:val="20"/>
          <w:highlight w:val="yellow"/>
        </w:rPr>
        <w:t xml:space="preserve"> verejného obstarávania</w:t>
      </w:r>
    </w:p>
    <w:p>
      <w:pPr>
        <w:pStyle w:val="style0"/>
        <w:rPr/>
      </w:pPr>
      <w:r>
        <w:rPr>
          <w:lang w:eastAsia="cs-CZ"/>
        </w:rPr>
        <w:br w:type="page"/>
      </w:r>
    </w:p>
    <w:p>
      <w:pPr>
        <w:pStyle w:val="style266"/>
        <w:rPr>
          <w:b w:val="false"/>
          <w:bCs/>
          <w:color w:val="0000cc"/>
        </w:rPr>
      </w:pPr>
      <w:r>
        <w:rPr>
          <w:b w:val="false"/>
          <w:bCs/>
          <w:color w:val="0000cc"/>
        </w:rPr>
        <w:t>Obsah</w:t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r>
        <w:rPr/>
        <w:fldChar w:fldCharType="begin"/>
      </w:r>
      <w:r>
        <w:instrText xml:space="preserve"> HYPERLINK \l "_Toc168057133" </w:instrText>
      </w:r>
      <w:r>
        <w:rPr/>
        <w:fldChar w:fldCharType="separate"/>
      </w:r>
      <w:r>
        <w:rPr>
          <w:rStyle w:val="style85"/>
          <w:noProof/>
        </w:rPr>
        <w:t>1.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Identifikácia verejného obstarávateľa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_Toc168057133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"_Toc168057134" </w:instrText>
      </w:r>
      <w:r>
        <w:rPr/>
        <w:fldChar w:fldCharType="separate"/>
      </w:r>
      <w:r>
        <w:rPr>
          <w:rStyle w:val="style85"/>
          <w:noProof/>
        </w:rPr>
        <w:t>2.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Identifikácia DNS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_Toc168057134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"_Toc168057135" </w:instrText>
      </w:r>
      <w:r>
        <w:rPr/>
        <w:fldChar w:fldCharType="separate"/>
      </w:r>
      <w:r>
        <w:rPr>
          <w:rStyle w:val="style85"/>
          <w:noProof/>
        </w:rPr>
        <w:t>3.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Predmet zákazky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_Toc168057135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"_Toc168057136" </w:instrText>
      </w:r>
      <w:r>
        <w:rPr/>
        <w:fldChar w:fldCharType="separate"/>
      </w:r>
      <w:r>
        <w:rPr>
          <w:rStyle w:val="style85"/>
          <w:noProof/>
        </w:rPr>
        <w:t>4.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Predpokladaná hodnota zákazky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_Toc168057136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"_Toc168057137" </w:instrText>
      </w:r>
      <w:r>
        <w:rPr/>
        <w:fldChar w:fldCharType="separate"/>
      </w:r>
      <w:r>
        <w:rPr>
          <w:rStyle w:val="style85"/>
          <w:noProof/>
        </w:rPr>
        <w:t>5.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Lehota na predkladanie ponúk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_Toc168057137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"_Toc168057138" </w:instrText>
      </w:r>
      <w:r>
        <w:rPr/>
        <w:fldChar w:fldCharType="separate"/>
      </w:r>
      <w:r>
        <w:rPr>
          <w:rStyle w:val="style85"/>
          <w:noProof/>
        </w:rPr>
        <w:t>6.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Predkladanie ponúk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_Toc168057138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"_Toc168057139" </w:instrText>
      </w:r>
      <w:r>
        <w:rPr/>
        <w:fldChar w:fldCharType="separate"/>
      </w:r>
      <w:r>
        <w:rPr>
          <w:rStyle w:val="style85"/>
          <w:noProof/>
        </w:rPr>
        <w:t>7.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Obsah ponúk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_Toc168057139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"_Toc168057140" </w:instrText>
      </w:r>
      <w:r>
        <w:rPr/>
        <w:fldChar w:fldCharType="separate"/>
      </w:r>
      <w:r>
        <w:rPr>
          <w:rStyle w:val="style85"/>
          <w:noProof/>
        </w:rPr>
        <w:t>8.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Otváranie ponúk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_Toc168057140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"_Toc168057141" </w:instrText>
      </w:r>
      <w:r>
        <w:rPr/>
        <w:fldChar w:fldCharType="separate"/>
      </w:r>
      <w:r>
        <w:rPr>
          <w:rStyle w:val="style85"/>
          <w:noProof/>
        </w:rPr>
        <w:t>9.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Kritériá na vyhodnotenie ponúk a pravidlá ich uplatnenia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_Toc168057141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"_Toc168057142" </w:instrText>
      </w:r>
      <w:r>
        <w:rPr/>
        <w:fldChar w:fldCharType="separate"/>
      </w:r>
      <w:r>
        <w:rPr>
          <w:rStyle w:val="style85"/>
          <w:noProof/>
        </w:rPr>
        <w:t>10.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Vyhodnotenie ponúk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_Toc168057142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"_Toc168057143" </w:instrText>
      </w:r>
      <w:r>
        <w:rPr/>
        <w:fldChar w:fldCharType="separate"/>
      </w:r>
      <w:r>
        <w:rPr>
          <w:rStyle w:val="style85"/>
          <w:noProof/>
        </w:rPr>
        <w:t>11.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Informácia o výsledku vyhodnotenia ponúk a uzavretie zmluvy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_Toc168057143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"_Toc168057144" </w:instrText>
      </w:r>
      <w:r>
        <w:rPr/>
        <w:fldChar w:fldCharType="separate"/>
      </w:r>
      <w:r>
        <w:rPr>
          <w:rStyle w:val="style85"/>
          <w:noProof/>
        </w:rPr>
        <w:t>12.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Komunikácia a doručovanie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_Toc168057144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"_Toc168057145" </w:instrText>
      </w:r>
      <w:r>
        <w:rPr/>
        <w:fldChar w:fldCharType="separate"/>
      </w:r>
      <w:r>
        <w:rPr>
          <w:rStyle w:val="style85"/>
          <w:noProof/>
        </w:rPr>
        <w:t>13.</w:t>
      </w:r>
      <w:r>
        <w:rPr>
          <w:rFonts w:ascii="Calibri" w:cs="宋体" w:eastAsia="宋体" w:hAnsi="Calibri"/>
          <w:noProof/>
          <w:kern w:val="2"/>
          <w:szCs w:val="24"/>
          <w:lang w:eastAsia="sk-SK"/>
          <w14:ligatures xmlns:w14="http://schemas.microsoft.com/office/word/2010/wordml" w14:val="standardContextual"/>
        </w:rPr>
        <w:tab/>
      </w:r>
      <w:r>
        <w:rPr>
          <w:rStyle w:val="style85"/>
          <w:noProof/>
        </w:rPr>
        <w:t>Vysvetlenie zadávacej dokumentácie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_Toc168057145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  <w:r>
        <w:rPr/>
        <w:fldChar w:fldCharType="end"/>
      </w:r>
    </w:p>
    <w:p>
      <w:pPr>
        <w:pStyle w:val="style20"/>
        <w:rPr>
          <w:b/>
          <w:bCs/>
        </w:rPr>
      </w:pPr>
      <w:r>
        <w:rPr>
          <w:b/>
          <w:bCs/>
        </w:rPr>
        <w:fldChar w:fldCharType="end"/>
      </w:r>
    </w:p>
    <w:bookmarkStart w:id="0" w:name="_Toc488059693"/>
    <w:bookmarkStart w:id="1" w:name="_Toc21598216"/>
    <w:p>
      <w:pPr>
        <w:pStyle w:val="style0"/>
        <w:rPr>
          <w:rFonts w:ascii="Calibri Light" w:cs="Calibri Light" w:hAnsi="Calibri Light"/>
          <w:color w:val="0000cc"/>
          <w:sz w:val="32"/>
          <w:szCs w:val="32"/>
        </w:rPr>
      </w:pPr>
      <w:r>
        <w:rPr>
          <w:rFonts w:ascii="Calibri Light" w:cs="Calibri Light" w:hAnsi="Calibri Light"/>
          <w:color w:val="0000cc"/>
          <w:sz w:val="32"/>
          <w:szCs w:val="32"/>
        </w:rPr>
        <w:t>Prílohy</w:t>
      </w:r>
      <w:bookmarkEnd w:id="0"/>
      <w:bookmarkEnd w:id="1"/>
    </w:p>
    <w:p>
      <w:pPr>
        <w:pStyle w:val="style0"/>
        <w:autoSpaceDE w:val="false"/>
        <w:autoSpaceDN w:val="false"/>
        <w:adjustRightInd w:val="false"/>
        <w:spacing w:lineRule="auto" w:line="276"/>
        <w:jc w:val="both"/>
        <w:rPr>
          <w:bCs/>
          <w:color w:val="000000"/>
        </w:rPr>
      </w:pPr>
    </w:p>
    <w:p>
      <w:pPr>
        <w:pStyle w:val="style2"/>
        <w:rPr/>
      </w:pPr>
      <w:r>
        <w:rPr>
          <w:lang w:eastAsia="cs-CZ"/>
        </w:rPr>
        <w:br w:type="page"/>
      </w:r>
      <w:bookmarkStart w:id="2" w:name="_Toc21598200"/>
      <w:bookmarkStart w:id="3" w:name="_Toc168057133"/>
      <w:r>
        <w:t>Identifikácia verejného obstarávateľa</w:t>
      </w:r>
      <w:bookmarkEnd w:id="2"/>
      <w:bookmarkEnd w:id="3"/>
      <w:r>
        <w:t xml:space="preserve"> </w:t>
      </w:r>
    </w:p>
    <w:p>
      <w:pPr>
        <w:pStyle w:val="style0"/>
        <w:spacing w:before="120" w:after="120"/>
        <w:jc w:val="both"/>
        <w:rPr>
          <w:rFonts w:eastAsia="Calibri"/>
        </w:rPr>
      </w:pPr>
      <w:r>
        <w:t>Bratislavské centrum služieb</w:t>
      </w:r>
      <w:r>
        <w:t xml:space="preserve"> - organizácia zriadená Hlavným mestom SR Bratislava</w:t>
      </w:r>
      <w:r>
        <w:t xml:space="preserve"> okrem iného aj na účely realizácie služieb verejného obstarávania </w:t>
      </w:r>
      <w:r>
        <w:rPr>
          <w:rFonts w:eastAsia="Calibri"/>
        </w:rPr>
        <w:t>(ďalej aj „</w:t>
      </w:r>
      <w:r>
        <w:rPr>
          <w:rFonts w:eastAsia="Calibri"/>
        </w:rPr>
        <w:t>verejný obstarávateľ</w:t>
      </w:r>
      <w:r>
        <w:rPr>
          <w:rFonts w:eastAsia="Calibri"/>
        </w:rPr>
        <w:t xml:space="preserve">“). </w:t>
      </w:r>
    </w:p>
    <w:bookmarkStart w:id="4" w:name="_Identifikácia_DNS"/>
    <w:bookmarkStart w:id="5" w:name="_Toc21598201"/>
    <w:bookmarkStart w:id="6" w:name="_Toc168057134"/>
    <w:bookmarkEnd w:id="4"/>
    <w:p>
      <w:pPr>
        <w:pStyle w:val="style2"/>
        <w:rPr/>
      </w:pPr>
      <w:r>
        <w:t>Identifikácia DNS</w:t>
      </w:r>
      <w:bookmarkEnd w:id="5"/>
      <w:bookmarkEnd w:id="6"/>
    </w:p>
    <w:p>
      <w:pPr>
        <w:pStyle w:val="style0"/>
        <w:spacing w:after="80"/>
        <w:jc w:val="both"/>
        <w:rPr>
          <w:bCs/>
        </w:rPr>
      </w:pPr>
      <w:r>
        <w:t>„</w:t>
      </w:r>
      <w:r>
        <w:rPr>
          <w:lang w:val="en-US"/>
        </w:rPr>
        <w:t>.........................</w:t>
      </w:r>
      <w:r>
        <w:t xml:space="preserve">“ </w:t>
      </w:r>
      <w:r>
        <w:rPr>
          <w:lang w:eastAsia="en-US"/>
        </w:rPr>
        <w:t xml:space="preserve">sa zadáva v rámci </w:t>
      </w:r>
      <w:r>
        <w:rPr>
          <w:lang w:eastAsia="en-US"/>
        </w:rPr>
        <w:t xml:space="preserve">DNS </w:t>
      </w:r>
      <w:r>
        <w:rPr>
          <w:lang w:eastAsia="en-US"/>
        </w:rPr>
        <w:t>„Zabezpečenie centrálneho nákupu hygienických potrieb pre Hlavné mesto SR Bratislava a ďalšie subjekty“</w:t>
      </w:r>
      <w:r>
        <w:rPr>
          <w:lang w:eastAsia="en-US"/>
        </w:rPr>
        <w:t xml:space="preserve">. </w:t>
      </w:r>
      <w:r>
        <w:rPr>
          <w:bCs/>
        </w:rPr>
        <w:t>Kompletné informácie o predmetnej výzve</w:t>
      </w:r>
      <w:r>
        <w:rPr>
          <w:bCs/>
        </w:rPr>
        <w:t xml:space="preserve"> a DNS</w:t>
      </w:r>
      <w:r>
        <w:rPr>
          <w:bCs/>
        </w:rPr>
        <w:t xml:space="preserve"> </w:t>
      </w:r>
      <w:r>
        <w:rPr>
          <w:bCs/>
        </w:rPr>
        <w:t>nájdete na tejto adrese</w:t>
      </w:r>
      <w:r>
        <w:rPr>
          <w:bCs/>
        </w:rPr>
        <w:t>:</w:t>
      </w:r>
    </w:p>
    <w:bookmarkStart w:id="7" w:name="_Toc488059670"/>
    <w:bookmarkStart w:id="8" w:name="_Toc21598202"/>
    <w:bookmarkStart w:id="9" w:name="_Toc168057135"/>
    <w:p>
      <w:pPr>
        <w:pStyle w:val="style0"/>
        <w:spacing w:after="160"/>
        <w:rPr>
          <w:lang w:eastAsia="en-US"/>
        </w:rPr>
      </w:pPr>
      <w:r>
        <w:rPr>
          <w:rStyle w:val="style85"/>
          <w:highlight w:val="yellow"/>
        </w:rPr>
        <w:t>https://josephine.proebiz.com/sk/tender/70431/summary</w:t>
      </w:r>
    </w:p>
    <w:p>
      <w:pPr>
        <w:pStyle w:val="style2"/>
        <w:rPr/>
      </w:pPr>
      <w:r>
        <w:t>Predm</w:t>
      </w:r>
      <w:r>
        <w:t>et zákazky</w:t>
      </w:r>
      <w:bookmarkEnd w:id="7"/>
      <w:bookmarkEnd w:id="8"/>
      <w:bookmarkEnd w:id="9"/>
    </w:p>
    <w:p>
      <w:pPr>
        <w:pStyle w:val="style0"/>
        <w:spacing w:after="160"/>
        <w:jc w:val="both"/>
        <w:rPr>
          <w:rFonts w:eastAsia="Calibri"/>
        </w:rPr>
      </w:pPr>
      <w:r>
        <w:rPr>
          <w:rFonts w:eastAsia="Calibri"/>
        </w:rPr>
        <w:t xml:space="preserve">Predmetom výzvy č. </w:t>
      </w:r>
      <w:r>
        <w:rPr>
          <w:rFonts w:eastAsia="Calibri"/>
        </w:rPr>
        <w:t>6</w:t>
      </w:r>
      <w:r>
        <w:rPr>
          <w:rFonts w:eastAsia="Calibri"/>
        </w:rPr>
        <w:t>8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je </w:t>
      </w:r>
      <w:r>
        <w:rPr>
          <w:rFonts w:eastAsia="Calibri"/>
          <w:highlight w:val="yellow"/>
        </w:rPr>
        <w:t>DNS bude slúžiť na zadávanie zákaziek, ktorých predmetom bude zabezpečenie dodávok centrálneho nákupu hygienických potrieb pre potreby hlavného mesta Slovenskej republiky Bratislavy, a ďalšie subjekty.</w:t>
      </w:r>
      <w:r>
        <w:rPr>
          <w:rFonts w:eastAsia="Calibri"/>
          <w:highlight w:val="yellow"/>
        </w:rPr>
        <w:br/>
      </w:r>
      <w:r>
        <w:rPr>
          <w:rFonts w:eastAsia="Calibri"/>
          <w:highlight w:val="yellow"/>
        </w:rPr>
        <w:t>DNS bude slúžiť na flexibilný nákup širokého sortimentu hygienických produktov, ako sú najmä papierové hygienické výrobky, mydlá, čistiace a dezinfekčné prostriedky, uteráky, dávkovače a ďalšie súvisiace spotrebné a doplnkové položky.</w:t>
      </w:r>
      <w:r>
        <w:rPr>
          <w:rFonts w:eastAsia="Calibri"/>
        </w:rPr>
        <w:t xml:space="preserve"> </w:t>
      </w:r>
    </w:p>
    <w:bookmarkStart w:id="10" w:name="_Hlk174024305"/>
    <w:p>
      <w:pPr>
        <w:pStyle w:val="style0"/>
        <w:spacing w:after="160"/>
        <w:jc w:val="both"/>
        <w:rPr>
          <w:rFonts w:eastAsia="Calibri"/>
        </w:rPr>
      </w:pPr>
      <w:r>
        <w:rPr>
          <w:rFonts w:eastAsia="Calibri"/>
        </w:rPr>
        <w:t xml:space="preserve">Podrobnosti </w:t>
      </w:r>
      <w:r>
        <w:rPr>
          <w:rFonts w:eastAsia="Calibri"/>
        </w:rPr>
        <w:t xml:space="preserve">vrátane požadovanej lehoty dodania </w:t>
      </w:r>
      <w:r>
        <w:rPr>
          <w:rFonts w:eastAsia="Calibri"/>
        </w:rPr>
        <w:t xml:space="preserve">sú uvedené v </w:t>
      </w:r>
      <w:r>
        <w:rPr>
          <w:rFonts w:eastAsia="Calibri"/>
          <w:b/>
          <w:bCs/>
        </w:rPr>
        <w:t>prílohe</w:t>
      </w:r>
      <w:r>
        <w:rPr>
          <w:rFonts w:eastAsia="Calibri"/>
          <w:b/>
          <w:bCs/>
        </w:rPr>
        <w:t xml:space="preserve"> č. 1</w:t>
      </w:r>
      <w:r>
        <w:rPr>
          <w:rFonts w:eastAsia="Calibri"/>
          <w:b/>
          <w:bCs/>
        </w:rPr>
        <w:t xml:space="preserve"> – </w:t>
      </w:r>
      <w:r>
        <w:rPr>
          <w:rFonts w:eastAsia="Calibri"/>
          <w:b/>
          <w:bCs/>
        </w:rPr>
        <w:t>Opis predmetu zákazky</w:t>
      </w:r>
      <w:r>
        <w:rPr>
          <w:rFonts w:eastAsia="Calibri"/>
        </w:rPr>
        <w:t>,</w:t>
      </w:r>
      <w:r>
        <w:rPr>
          <w:rFonts w:eastAsia="Calibri"/>
        </w:rPr>
        <w:t xml:space="preserve"> týchto</w:t>
      </w:r>
      <w:bookmarkEnd w:id="10"/>
      <w:r>
        <w:rPr>
          <w:rFonts w:eastAsia="Calibri"/>
        </w:rPr>
        <w:t xml:space="preserve"> súťažných podkladov.</w:t>
      </w:r>
    </w:p>
    <w:bookmarkStart w:id="11" w:name="_Hlk174024336"/>
    <w:bookmarkStart w:id="12" w:name="_Hlk174024336"/>
    <w:bookmarkStart w:id="13" w:name="_Hlk174024336"/>
    <w:bookmarkStart w:id="14" w:name="_Hlk174024336"/>
    <w:bookmarkStart w:id="15" w:name="_Hlk174024336"/>
    <w:bookmarkStart w:id="16" w:name="_Hlk174024336"/>
    <w:p>
      <w:pPr>
        <w:pStyle w:val="style0"/>
        <w:spacing w:after="160"/>
        <w:jc w:val="both"/>
        <w:rPr>
          <w:rFonts w:eastAsia="Calibri"/>
        </w:rPr>
      </w:pPr>
      <w:r>
        <w:rPr>
          <w:rFonts w:eastAsia="Calibri"/>
        </w:rPr>
        <w:t>Označenie CPV kódov</w:t>
      </w:r>
      <w:r>
        <w:rPr>
          <w:rFonts w:eastAsia="Calibri"/>
        </w:rPr>
        <w:t>:</w:t>
      </w:r>
    </w:p>
    <w:bookmarkEnd w:id="16"/>
    <w:tbl>
      <w:tblPr>
        <w:tblStyle w:val="style15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>
        <w:trPr/>
        <w:tc>
          <w:tcPr>
            <w:tcW w:w="2127" w:type="dxa"/>
            <w:tcBorders/>
            <w:vAlign w:val="center"/>
          </w:tcPr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33700000-7</w:t>
            </w:r>
          </w:p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33771000-5</w:t>
            </w:r>
          </w:p>
        </w:tc>
        <w:tc>
          <w:tcPr>
            <w:tcW w:w="7513" w:type="dxa"/>
            <w:tcBorders/>
            <w:vAlign w:val="center"/>
          </w:tcPr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Predmety osobnej starostlivosti</w:t>
            </w:r>
          </w:p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Hygienické výrobky z papiera</w:t>
            </w:r>
          </w:p>
        </w:tc>
      </w:tr>
      <w:bookmarkEnd w:id="16"/>
      <w:tr>
        <w:tblPrEx/>
        <w:trPr/>
        <w:tc>
          <w:tcPr>
            <w:tcW w:w="2127" w:type="dxa"/>
            <w:tcBorders/>
            <w:vAlign w:val="center"/>
          </w:tcPr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33700000-7</w:t>
            </w:r>
          </w:p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24455000-8</w:t>
            </w:r>
          </w:p>
        </w:tc>
        <w:tc>
          <w:tcPr>
            <w:tcW w:w="7513" w:type="dxa"/>
            <w:tcBorders/>
            <w:vAlign w:val="center"/>
          </w:tcPr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Predmety osobnej starostlivosti</w:t>
            </w:r>
          </w:p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Dezinfekčné prostriedky</w:t>
            </w:r>
          </w:p>
        </w:tc>
      </w:tr>
      <w:bookmarkEnd w:id="16"/>
      <w:tr>
        <w:tblPrEx/>
        <w:trPr/>
        <w:tc>
          <w:tcPr>
            <w:tcW w:w="2127" w:type="dxa"/>
            <w:tcBorders/>
            <w:vAlign w:val="center"/>
          </w:tcPr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33700000-7</w:t>
            </w:r>
          </w:p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39800000-0</w:t>
            </w:r>
          </w:p>
        </w:tc>
        <w:tc>
          <w:tcPr>
            <w:tcW w:w="7513" w:type="dxa"/>
            <w:tcBorders/>
            <w:vAlign w:val="center"/>
          </w:tcPr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Predmety osobnej starostlivosti</w:t>
            </w:r>
          </w:p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Čistiace a leštiace výrobky</w:t>
            </w:r>
          </w:p>
        </w:tc>
      </w:tr>
      <w:bookmarkEnd w:id="16"/>
      <w:tr>
        <w:tblPrEx/>
        <w:trPr/>
        <w:tc>
          <w:tcPr>
            <w:tcW w:w="2127" w:type="dxa"/>
            <w:tcBorders/>
            <w:vAlign w:val="center"/>
          </w:tcPr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33700000-7</w:t>
            </w:r>
          </w:p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39831000-6</w:t>
            </w:r>
          </w:p>
        </w:tc>
        <w:tc>
          <w:tcPr>
            <w:tcW w:w="7513" w:type="dxa"/>
            <w:tcBorders/>
            <w:vAlign w:val="center"/>
          </w:tcPr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Predmety osobnej starostlivosti</w:t>
            </w:r>
          </w:p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Pracie prostriedky</w:t>
            </w:r>
          </w:p>
        </w:tc>
      </w:tr>
      <w:bookmarkEnd w:id="16"/>
      <w:tr>
        <w:tblPrEx/>
        <w:trPr/>
        <w:tc>
          <w:tcPr>
            <w:tcW w:w="2127" w:type="dxa"/>
            <w:tcBorders/>
            <w:vAlign w:val="center"/>
          </w:tcPr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33700000-7</w:t>
            </w:r>
          </w:p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39830000-9</w:t>
            </w:r>
          </w:p>
        </w:tc>
        <w:tc>
          <w:tcPr>
            <w:tcW w:w="7513" w:type="dxa"/>
            <w:tcBorders/>
            <w:vAlign w:val="center"/>
          </w:tcPr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Predmety osobnej starostlivosti</w:t>
            </w:r>
          </w:p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Čistiace výrobky</w:t>
            </w:r>
          </w:p>
        </w:tc>
      </w:tr>
      <w:bookmarkEnd w:id="16"/>
      <w:tr>
        <w:tblPrEx/>
        <w:trPr/>
        <w:tc>
          <w:tcPr>
            <w:tcW w:w="2127" w:type="dxa"/>
            <w:tcBorders/>
            <w:vAlign w:val="center"/>
          </w:tcPr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33700000-7</w:t>
            </w:r>
          </w:p>
          <w:p>
            <w:pPr>
              <w:pStyle w:val="style0"/>
              <w:spacing w:before="40" w:after="40"/>
              <w:ind w:left="3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42955000-5</w:t>
            </w:r>
          </w:p>
        </w:tc>
        <w:tc>
          <w:tcPr>
            <w:tcW w:w="7513" w:type="dxa"/>
            <w:tcBorders/>
            <w:vAlign w:val="center"/>
          </w:tcPr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Predmety osobnej starostlivosti</w:t>
            </w:r>
          </w:p>
          <w:p>
            <w:pPr>
              <w:pStyle w:val="style0"/>
              <w:spacing w:before="40" w:after="40"/>
              <w:rPr>
                <w:color w:val="000000"/>
                <w:szCs w:val="24"/>
                <w:lang w:eastAsia="cs-CZ"/>
              </w:rPr>
            </w:pPr>
            <w:r>
              <w:rPr>
                <w:color w:val="000000"/>
                <w:szCs w:val="24"/>
                <w:highlight w:val="yellow"/>
                <w:lang w:eastAsia="cs-CZ"/>
              </w:rPr>
              <w:t>Časti filtračných zariadení</w:t>
            </w:r>
          </w:p>
        </w:tc>
      </w:tr>
      <w:commentRangeStart w:id="1"/>
      <w:bookmarkStart w:id="17" w:name="_Toc168057136"/>
    </w:tbl>
    <w:p>
      <w:pPr>
        <w:pStyle w:val="style157"/>
        <w:spacing w:before="160"/>
        <w:rPr/>
      </w:pPr>
      <w:r>
        <w:t>Výsledkom tohto verejného obstarávania je:</w:t>
      </w:r>
      <w:commentRangeEnd w:id="1"/>
      <w:r>
        <w:rPr>
          <w:rStyle w:val="style39"/>
          <w:rFonts w:ascii="Calibri" w:eastAsia="Calibri" w:hAnsi="Calibri"/>
          <w:lang w:eastAsia="en-US"/>
        </w:rPr>
        <w:commentReference w:id="1"/>
      </w:r>
    </w:p>
    <w:p>
      <w:pPr>
        <w:pStyle w:val="style2"/>
        <w:rPr/>
      </w:pPr>
      <w:r>
        <w:t>Predpokladaná hodnota zákazky</w:t>
      </w:r>
      <w:bookmarkEnd w:id="17"/>
      <w:r>
        <w:t xml:space="preserve"> </w:t>
      </w:r>
    </w:p>
    <w:commentRangeStart w:id="2"/>
    <w:p>
      <w:pPr>
        <w:pStyle w:val="style157"/>
        <w:jc w:val="both"/>
        <w:rPr/>
      </w:pPr>
      <w:r>
        <w:t xml:space="preserve">Predpokladaná hodnota zákazky je </w:t>
      </w:r>
      <w:r>
        <w:rPr>
          <w:b/>
          <w:bCs/>
          <w:highlight w:val="yellow"/>
        </w:rPr>
        <w:t>479 040,00</w:t>
      </w:r>
      <w:r>
        <w:rPr>
          <w:b/>
          <w:bCs/>
        </w:rPr>
        <w:t xml:space="preserve"> </w:t>
      </w:r>
      <w:r>
        <w:t>eur bez DPH.</w:t>
      </w:r>
      <w:commentRangeEnd w:id="2"/>
      <w:r>
        <w:rPr>
          <w:rStyle w:val="style39"/>
          <w:rFonts w:ascii="Calibri" w:eastAsia="Calibri" w:hAnsi="Calibri"/>
          <w:lang w:eastAsia="en-US"/>
        </w:rPr>
        <w:commentReference w:id="2"/>
      </w:r>
    </w:p>
    <w:bookmarkStart w:id="18" w:name="_Toc488059677"/>
    <w:bookmarkStart w:id="19" w:name="_Toc21598203"/>
    <w:bookmarkStart w:id="20" w:name="_Toc168057137"/>
    <w:bookmarkStart w:id="21" w:name="_Toc168057145"/>
    <w:bookmarkStart w:id="22" w:name="_Toc168057138"/>
    <w:p>
      <w:pPr>
        <w:pStyle w:val="style2"/>
        <w:rPr/>
      </w:pPr>
      <w:r>
        <w:t>Lehota na predkladanie ponúk</w:t>
      </w:r>
      <w:bookmarkEnd w:id="18"/>
      <w:bookmarkEnd w:id="19"/>
      <w:bookmarkEnd w:id="20"/>
    </w:p>
    <w:p>
      <w:pPr>
        <w:pStyle w:val="style0"/>
        <w:spacing w:after="160"/>
        <w:rPr>
          <w:szCs w:val="24"/>
        </w:rPr>
      </w:pPr>
      <w:r>
        <w:t xml:space="preserve">Ponuky musia byť </w:t>
      </w:r>
      <w:r>
        <w:rPr>
          <w:b/>
        </w:rPr>
        <w:t xml:space="preserve">doručené </w:t>
      </w:r>
      <w:r>
        <w:tab/>
      </w:r>
      <w:r>
        <w:rPr>
          <w:b/>
        </w:rPr>
        <w:t xml:space="preserve">do </w:t>
      </w:r>
      <w:r>
        <w:rPr>
          <w:b/>
          <w:bCs/>
          <w:szCs w:val="24"/>
          <w:highlight w:val="yellow"/>
        </w:rPr>
        <w:t>20.10.2025 16:00:00</w:t>
      </w:r>
      <w:r>
        <w:rPr>
          <w:szCs w:val="24"/>
        </w:rPr>
        <w:t>.</w:t>
      </w:r>
    </w:p>
    <w:bookmarkStart w:id="23" w:name="_Hlk174024769"/>
    <w:p>
      <w:pPr>
        <w:pStyle w:val="style2"/>
        <w:rPr/>
      </w:pPr>
      <w:r>
        <w:t>Vysvetlenie zadávacej dokumentácie</w:t>
      </w:r>
      <w:bookmarkEnd w:id="21"/>
    </w:p>
    <w:p>
      <w:pPr>
        <w:pStyle w:val="style157"/>
        <w:jc w:val="both"/>
        <w:rPr/>
      </w:pPr>
      <w:r>
        <w:rPr>
          <w:color w:val="000000"/>
        </w:rPr>
        <w:t>V</w:t>
      </w:r>
      <w:r>
        <w:rPr>
          <w:color w:val="000000"/>
        </w:rPr>
        <w:t> </w:t>
      </w:r>
      <w:r>
        <w:rPr>
          <w:color w:val="000000"/>
        </w:rPr>
        <w:t xml:space="preserve">prípade nejasností alebo potreby </w:t>
      </w:r>
      <w:r>
        <w:rPr>
          <w:color w:val="000000"/>
        </w:rPr>
        <w:t>vysvetleni</w:t>
      </w:r>
      <w:r>
        <w:rPr>
          <w:color w:val="000000"/>
        </w:rPr>
        <w:t>a</w:t>
      </w:r>
      <w:r>
        <w:rPr>
          <w:color w:val="000000"/>
        </w:rPr>
        <w:t xml:space="preserve"> informácií potrebných na vypracovanie ponuky</w:t>
      </w:r>
      <w:r>
        <w:rPr>
          <w:color w:val="000000"/>
        </w:rPr>
        <w:t xml:space="preserve">, môže zaradený záujemca požiadať o vysvetlenie </w:t>
      </w:r>
      <w:r>
        <w:t>na adrese</w:t>
      </w:r>
      <w:r>
        <w:t xml:space="preserve"> uvedenej v </w:t>
      </w:r>
      <w:r>
        <w:rPr/>
        <w:fldChar w:fldCharType="begin"/>
      </w:r>
      <w:r>
        <w:instrText xml:space="preserve"> HYPERLINK \l "_Identifikácia_DNS" </w:instrText>
      </w:r>
      <w:r>
        <w:rPr/>
        <w:fldChar w:fldCharType="separate"/>
      </w:r>
      <w:r>
        <w:rPr>
          <w:rStyle w:val="style85"/>
        </w:rPr>
        <w:t>bode 2</w:t>
      </w:r>
      <w:r>
        <w:rPr/>
        <w:fldChar w:fldCharType="end"/>
      </w:r>
      <w:r>
        <w:t xml:space="preserve"> týchto SP.</w:t>
      </w:r>
    </w:p>
    <w:bookmarkEnd w:id="23"/>
    <w:p>
      <w:pPr>
        <w:pStyle w:val="style2"/>
        <w:rPr/>
      </w:pPr>
      <w:r>
        <w:t>Pred</w:t>
      </w:r>
      <w:r>
        <w:t>kladanie ponúk</w:t>
      </w:r>
      <w:bookmarkEnd w:id="22"/>
    </w:p>
    <w:bookmarkStart w:id="24" w:name="_Hlk174025238"/>
    <w:p>
      <w:pPr>
        <w:pStyle w:val="style157"/>
        <w:numPr>
          <w:ilvl w:val="1"/>
          <w:numId w:val="1"/>
        </w:numPr>
        <w:spacing w:after="160"/>
        <w:ind w:left="426"/>
        <w:jc w:val="both"/>
        <w:rPr/>
      </w:pPr>
      <w:r>
        <w:t xml:space="preserve">Ponuku môžu predkladať </w:t>
      </w:r>
      <w:r>
        <w:t xml:space="preserve">len </w:t>
      </w:r>
      <w:r>
        <w:rPr>
          <w:rFonts w:eastAsia="TimesNewRomanPSMT"/>
          <w:color w:val="000000"/>
        </w:rPr>
        <w:t>záujemcovia</w:t>
      </w:r>
      <w:r>
        <w:rPr>
          <w:rFonts w:eastAsia="TimesNewRomanPSMT"/>
          <w:color w:val="000000"/>
        </w:rPr>
        <w:t>, ktorí sú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v čase vyhlásenia zákazky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zaradení</w:t>
      </w:r>
      <w:r>
        <w:rPr>
          <w:rFonts w:eastAsia="TimesNewRomanPSMT"/>
          <w:color w:val="000000"/>
        </w:rPr>
        <w:t xml:space="preserve"> do predmetného DNS.</w:t>
      </w:r>
    </w:p>
    <w:p>
      <w:pPr>
        <w:pStyle w:val="style157"/>
        <w:numPr>
          <w:ilvl w:val="1"/>
          <w:numId w:val="1"/>
        </w:numPr>
        <w:spacing w:after="160"/>
        <w:ind w:left="426"/>
        <w:jc w:val="both"/>
        <w:rPr/>
      </w:pPr>
      <w:r>
        <w:rPr>
          <w:rFonts w:eastAsia="TimesNewRomanPSMT"/>
          <w:color w:val="000000"/>
        </w:rPr>
        <w:t xml:space="preserve">Zaradený záujemca </w:t>
      </w:r>
      <w:r>
        <w:t xml:space="preserve">môže predložiť len jednu ponuku. </w:t>
      </w:r>
      <w:r>
        <w:rPr>
          <w:rFonts w:eastAsia="TimesNewRomanPSMT"/>
          <w:color w:val="000000"/>
        </w:rPr>
        <w:t>Zaradený záujemca</w:t>
      </w:r>
      <w:r>
        <w:t xml:space="preserve"> predkladá ponuku v</w:t>
      </w:r>
      <w:r>
        <w:t> </w:t>
      </w:r>
      <w:r>
        <w:t xml:space="preserve">elektronickej podobe v lehote na </w:t>
      </w:r>
      <w:r>
        <w:rPr>
          <w:color w:val="000000"/>
        </w:rPr>
        <w:t>predkladanie</w:t>
      </w:r>
      <w:r>
        <w:t xml:space="preserve"> ponúk podľa požiadaviek uvedených v týchto súťažných </w:t>
      </w:r>
      <w:bookmarkEnd w:id="24"/>
      <w:r>
        <w:t>podkladoch. Elektronická ponuka sa vloží na adrese</w:t>
      </w:r>
      <w:r>
        <w:t xml:space="preserve"> </w:t>
      </w:r>
      <w:r>
        <w:t>uvedenej v </w:t>
      </w:r>
      <w:r>
        <w:rPr/>
        <w:fldChar w:fldCharType="begin"/>
      </w:r>
      <w:r>
        <w:instrText xml:space="preserve"> HYPERLINK \l "_Identifikácia_DNS" </w:instrText>
      </w:r>
      <w:r>
        <w:rPr/>
        <w:fldChar w:fldCharType="separate"/>
      </w:r>
      <w:r>
        <w:rPr>
          <w:rStyle w:val="style85"/>
        </w:rPr>
        <w:t xml:space="preserve">bode </w:t>
      </w:r>
      <w:r>
        <w:rPr>
          <w:rStyle w:val="style85"/>
        </w:rPr>
        <w:t>2</w:t>
      </w:r>
      <w:r>
        <w:rPr/>
        <w:fldChar w:fldCharType="end"/>
      </w:r>
      <w:r>
        <w:t xml:space="preserve"> týchto SP.</w:t>
      </w:r>
    </w:p>
    <w:p>
      <w:pPr>
        <w:pStyle w:val="style157"/>
        <w:numPr>
          <w:ilvl w:val="1"/>
          <w:numId w:val="1"/>
        </w:numPr>
        <w:spacing w:after="160"/>
        <w:ind w:left="426"/>
        <w:jc w:val="both"/>
        <w:rPr/>
      </w:pPr>
      <w:r>
        <w:rPr>
          <w:rFonts w:eastAsia="TimesNewRomanPSMT"/>
          <w:color w:val="000000"/>
        </w:rPr>
        <w:t>Zaradený záujemca</w:t>
      </w:r>
      <w:r>
        <w:t xml:space="preserve"> predkladá ponuku v slovenskom alebo českom jazyku. Ak je jej súčasťou doklad alebo dokument vyhotovený v</w:t>
      </w:r>
      <w:r>
        <w:t> </w:t>
      </w:r>
      <w:r>
        <w:t>cudzom jazyku, predkladá sa spolu s</w:t>
      </w:r>
      <w:r>
        <w:t> </w:t>
      </w:r>
      <w:r>
        <w:t>jeho úradným prekladom do slovenčiny; to neplatí pre doklady a dokumenty vyhotovené v českom jazyku.</w:t>
      </w:r>
    </w:p>
    <w:p>
      <w:pPr>
        <w:pStyle w:val="style157"/>
        <w:numPr>
          <w:ilvl w:val="1"/>
          <w:numId w:val="1"/>
        </w:numPr>
        <w:spacing w:after="160"/>
        <w:ind w:left="426"/>
        <w:jc w:val="both"/>
        <w:rPr/>
      </w:pPr>
      <w:r>
        <w:rPr>
          <w:bCs/>
          <w:shd w:val="clear" w:color="auto" w:fill="ffffff"/>
        </w:rPr>
        <w:t xml:space="preserve">Záujemca môže predložiť aj </w:t>
      </w:r>
      <w:r>
        <w:t>dokument vyhotovený v anglickom jazyku</w:t>
      </w:r>
      <w:r>
        <w:t>.</w:t>
      </w:r>
      <w:r>
        <w:rPr>
          <w:bCs/>
        </w:rPr>
        <w:t xml:space="preserve"> </w:t>
      </w:r>
      <w:r>
        <w:rPr>
          <w:bCs/>
        </w:rPr>
        <w:t xml:space="preserve">V prípade, ak verejný obstarávateľ nebude vedieť z dokumentu predloženého v anglickom jazyku </w:t>
      </w:r>
      <w:r>
        <w:rPr>
          <w:bCs/>
        </w:rPr>
        <w:t>vyhodnoti</w:t>
      </w:r>
      <w:r>
        <w:rPr>
          <w:bCs/>
        </w:rPr>
        <w:t xml:space="preserve">ť </w:t>
      </w:r>
      <w:r>
        <w:rPr>
          <w:bCs/>
        </w:rPr>
        <w:t xml:space="preserve">tam </w:t>
      </w:r>
      <w:r>
        <w:rPr>
          <w:bCs/>
        </w:rPr>
        <w:t xml:space="preserve">uvedené </w:t>
      </w:r>
      <w:r>
        <w:rPr>
          <w:bCs/>
        </w:rPr>
        <w:t>informácie, požiada uchádzača o predloženie úradného prekladu dokumentu</w:t>
      </w:r>
      <w:r>
        <w:rPr>
          <w:bCs/>
        </w:rPr>
        <w:t xml:space="preserve"> </w:t>
      </w:r>
      <w:r>
        <w:rPr>
          <w:bCs/>
        </w:rPr>
        <w:t xml:space="preserve">do </w:t>
      </w:r>
      <w:r>
        <w:t xml:space="preserve">slovenského </w:t>
      </w:r>
      <w:r>
        <w:t xml:space="preserve">alebo českého </w:t>
      </w:r>
      <w:r>
        <w:t>jazyka.</w:t>
      </w:r>
    </w:p>
    <w:p>
      <w:pPr>
        <w:pStyle w:val="style157"/>
        <w:numPr>
          <w:ilvl w:val="1"/>
          <w:numId w:val="1"/>
        </w:numPr>
        <w:spacing w:after="160"/>
        <w:ind w:left="426"/>
        <w:jc w:val="both"/>
        <w:rPr/>
      </w:pPr>
      <w:r>
        <w:rPr>
          <w:rFonts w:eastAsia="TimesNewRomanPSMT"/>
        </w:rPr>
        <w:t>Zaradený záujemca môže predloženú ponuku doplniť, zmeniť alebo odvolať do uplynutia lehoty na p</w:t>
      </w:r>
      <w:r>
        <w:t xml:space="preserve">redkladanie </w:t>
      </w:r>
      <w:r>
        <w:rPr>
          <w:rFonts w:eastAsia="TimesNewRomanPSMT"/>
        </w:rPr>
        <w:t>ponúk. Zaradený záujemca pri zmene a odvolaní ponuky postupuje obdobne ako pri vložení prvotnej ponuky (kliknutím na tlačidlo Stiahnuť ponuku a predložením novej ponuky).</w:t>
      </w:r>
    </w:p>
    <w:p>
      <w:pPr>
        <w:pStyle w:val="style157"/>
        <w:numPr>
          <w:ilvl w:val="1"/>
          <w:numId w:val="1"/>
        </w:numPr>
        <w:spacing w:after="160"/>
        <w:ind w:left="426"/>
        <w:jc w:val="both"/>
        <w:rPr/>
      </w:pPr>
      <w:r>
        <w:rPr>
          <w:rFonts w:eastAsia="TimesNewRomanPSMT"/>
        </w:rPr>
        <w:t xml:space="preserve">Neumožňuje sa predložiť variantné riešenie. </w:t>
      </w:r>
    </w:p>
    <w:bookmarkStart w:id="25" w:name="_Toc168057139"/>
    <w:p>
      <w:pPr>
        <w:pStyle w:val="style2"/>
        <w:rPr/>
      </w:pPr>
      <w:r>
        <w:t>Obsah ponúk</w:t>
      </w:r>
      <w:bookmarkEnd w:id="25"/>
    </w:p>
    <w:p>
      <w:pPr>
        <w:pStyle w:val="style0"/>
        <w:autoSpaceDE w:val="false"/>
        <w:autoSpaceDN w:val="false"/>
        <w:adjustRightInd w:val="false"/>
        <w:spacing w:after="160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Uchádzači v lehote na predkladanie ponúk </w:t>
      </w:r>
      <w:r>
        <w:rPr>
          <w:rFonts w:eastAsia="TimesNewRomanPSMT"/>
          <w:b/>
          <w:bCs/>
          <w:color w:val="000000"/>
        </w:rPr>
        <w:t>nepredkladajú žiadne dokumenty</w:t>
      </w:r>
      <w:r>
        <w:rPr>
          <w:rFonts w:eastAsia="TimesNewRomanPSMT"/>
          <w:color w:val="000000"/>
        </w:rPr>
        <w:t xml:space="preserve">. Vyplnia iba svoju </w:t>
      </w:r>
      <w:r>
        <w:rPr>
          <w:rFonts w:eastAsia="TimesNewRomanPSMT"/>
          <w:b/>
          <w:bCs/>
          <w:color w:val="000000"/>
        </w:rPr>
        <w:t>celkovú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b/>
          <w:bCs/>
          <w:color w:val="000000"/>
        </w:rPr>
        <w:t>ponukovú cenu</w:t>
      </w:r>
      <w:r>
        <w:rPr>
          <w:rFonts w:eastAsia="TimesNewRomanPSMT"/>
          <w:color w:val="000000"/>
        </w:rPr>
        <w:t>, a to priamo v IS JOSEPHINE, pričom odoslaním cenovej ponuky v IS JOSEPHINE uchádzač potvrdzuje, že:</w:t>
      </w:r>
    </w:p>
    <w:p>
      <w:pPr>
        <w:pStyle w:val="style179"/>
        <w:numPr>
          <w:ilvl w:val="0"/>
          <w:numId w:val="39"/>
        </w:numPr>
        <w:autoSpaceDE w:val="false"/>
        <w:autoSpaceDN w:val="false"/>
        <w:adjustRightInd w:val="false"/>
        <w:spacing w:after="120"/>
        <w:ind w:left="426" w:hanging="426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sa </w:t>
      </w:r>
      <w:r>
        <w:rPr>
          <w:rFonts w:eastAsia="TimesNewRomanPSMT"/>
          <w:color w:val="000000"/>
        </w:rPr>
        <w:t>oboznámil s </w:t>
      </w:r>
      <w:r>
        <w:rPr>
          <w:rFonts w:eastAsia="TimesNewRomanPSMT"/>
          <w:color w:val="000000"/>
        </w:rPr>
        <w:t>požiadavkami na predmet zákazky stanovenými v prílohe č. 1,</w:t>
      </w:r>
    </w:p>
    <w:p>
      <w:pPr>
        <w:pStyle w:val="style179"/>
        <w:numPr>
          <w:ilvl w:val="0"/>
          <w:numId w:val="39"/>
        </w:numPr>
        <w:autoSpaceDE w:val="false"/>
        <w:autoSpaceDN w:val="false"/>
        <w:adjustRightInd w:val="false"/>
        <w:spacing w:after="120"/>
        <w:ind w:left="426" w:hanging="426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sa </w:t>
      </w:r>
      <w:r>
        <w:rPr>
          <w:rFonts w:eastAsia="TimesNewRomanPSMT"/>
          <w:color w:val="000000"/>
        </w:rPr>
        <w:t>oboznámil s obsahom čestných vyhlásení v prílohe č. 2 ,</w:t>
      </w:r>
    </w:p>
    <w:p>
      <w:pPr>
        <w:pStyle w:val="style179"/>
        <w:numPr>
          <w:ilvl w:val="0"/>
          <w:numId w:val="39"/>
        </w:numPr>
        <w:autoSpaceDE w:val="false"/>
        <w:autoSpaceDN w:val="false"/>
        <w:adjustRightInd w:val="false"/>
        <w:spacing w:after="160"/>
        <w:ind w:left="426" w:hanging="426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berie na vedomie, že výsledkom tohto verejného obstarávania bude </w:t>
      </w:r>
      <w:r>
        <w:rPr>
          <w:rFonts w:eastAsia="TimesNewRomanPSMT"/>
          <w:b/>
          <w:bCs/>
          <w:color w:val="000000"/>
        </w:rPr>
        <w:t>vystavenie objednávky</w:t>
      </w:r>
      <w:r>
        <w:rPr>
          <w:rFonts w:eastAsia="TimesNewRomanPSMT"/>
          <w:color w:val="000000"/>
        </w:rPr>
        <w:t>, ktorá sa riadi všeobecnými zmluvnými podmienkami uvedenými v</w:t>
      </w:r>
      <w:r>
        <w:rPr>
          <w:rFonts w:eastAsia="TimesNewRomanPSMT"/>
          <w:color w:val="000000"/>
        </w:rPr>
        <w:t> </w:t>
      </w:r>
      <w:r>
        <w:rPr>
          <w:rFonts w:eastAsia="TimesNewRomanPSMT"/>
          <w:color w:val="000000"/>
        </w:rPr>
        <w:t>prílohe</w:t>
      </w:r>
      <w:r>
        <w:rPr>
          <w:rFonts w:eastAsia="TimesNewRomanPSMT"/>
          <w:color w:val="000000"/>
        </w:rPr>
        <w:t xml:space="preserve"> č. 3.</w:t>
      </w:r>
    </w:p>
    <w:p>
      <w:pPr>
        <w:pStyle w:val="style0"/>
        <w:autoSpaceDE w:val="false"/>
        <w:autoSpaceDN w:val="false"/>
        <w:adjustRightInd w:val="false"/>
        <w:spacing w:after="160"/>
        <w:jc w:val="both"/>
        <w:contextualSpacing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Ponuka musí obsahovať:</w:t>
      </w:r>
    </w:p>
    <w:p>
      <w:pPr>
        <w:pStyle w:val="style179"/>
        <w:numPr>
          <w:ilvl w:val="0"/>
          <w:numId w:val="35"/>
        </w:numPr>
        <w:autoSpaceDE w:val="false"/>
        <w:autoSpaceDN w:val="false"/>
        <w:adjustRightInd w:val="false"/>
        <w:spacing w:after="160"/>
        <w:ind w:left="357" w:hanging="357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opis ponúkaného tovaru, preukazujúci splnenie požiadaviek verejného obstarávateľa na predmet zákazky</w:t>
      </w:r>
      <w:r>
        <w:rPr>
          <w:rFonts w:eastAsia="TimesNewRomanPSMT"/>
          <w:color w:val="000000"/>
        </w:rPr>
        <w:t xml:space="preserve"> (napr. odkaz na webovú stránku dodávateľa, produktový list, technický list, a pod.);</w:t>
      </w:r>
    </w:p>
    <w:p>
      <w:pPr>
        <w:pStyle w:val="style179"/>
        <w:numPr>
          <w:ilvl w:val="0"/>
          <w:numId w:val="35"/>
        </w:numPr>
        <w:autoSpaceDE w:val="false"/>
        <w:autoSpaceDN w:val="false"/>
        <w:adjustRightInd w:val="false"/>
        <w:spacing w:after="160"/>
        <w:ind w:left="357" w:hanging="357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návrh zaradeného záujemcu na plnenie kritéria </w:t>
      </w:r>
      <w:r>
        <w:rPr>
          <w:rFonts w:eastAsia="TimesNewRomanPSMT"/>
          <w:color w:val="000000"/>
        </w:rPr>
        <w:t xml:space="preserve">na vyhodnotenie ponúk </w:t>
      </w:r>
      <w:r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príloha č. </w:t>
      </w:r>
      <w:r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,</w:t>
      </w:r>
    </w:p>
    <w:p>
      <w:pPr>
        <w:pStyle w:val="style179"/>
        <w:numPr>
          <w:ilvl w:val="0"/>
          <w:numId w:val="35"/>
        </w:numPr>
        <w:autoSpaceDE w:val="false"/>
        <w:autoSpaceDN w:val="false"/>
        <w:adjustRightInd w:val="false"/>
        <w:spacing w:after="160"/>
        <w:jc w:val="both"/>
        <w:contextualSpacing/>
        <w:rPr>
          <w:rFonts w:eastAsia="TimesNewRomanPSMT"/>
          <w:color w:val="000000"/>
        </w:rPr>
      </w:pPr>
      <w:r>
        <w:rPr>
          <w:highlight w:val="yellow"/>
        </w:rPr>
        <w:t>...............</w:t>
      </w:r>
    </w:p>
    <w:bookmarkStart w:id="26" w:name="_Toc168057140"/>
    <w:bookmarkStart w:id="27" w:name="_Toc21598211"/>
    <w:p>
      <w:pPr>
        <w:pStyle w:val="style2"/>
        <w:rPr/>
      </w:pPr>
      <w:r>
        <w:t>Otváranie ponúk</w:t>
      </w:r>
      <w:bookmarkEnd w:id="26"/>
      <w:r>
        <w:t xml:space="preserve"> </w:t>
      </w:r>
      <w:bookmarkEnd w:id="27"/>
    </w:p>
    <w:p>
      <w:pPr>
        <w:pStyle w:val="style157"/>
        <w:spacing w:after="160" w:lineRule="auto" w:line="259"/>
        <w:jc w:val="both"/>
        <w:rPr/>
      </w:pPr>
      <w:r>
        <w:t>Ponuky sa otvárajú neverejne a až po uplynutí lehoty na predkladanie ponúk.</w:t>
      </w:r>
      <w:r>
        <w:t xml:space="preserve"> </w:t>
      </w:r>
      <w:r>
        <w:t>V</w:t>
      </w:r>
      <w:r>
        <w:t xml:space="preserve"> súlade s </w:t>
      </w:r>
      <w:r>
        <w:rPr/>
        <w:fldChar w:fldCharType="begin"/>
      </w:r>
      <w:r>
        <w:instrText xml:space="preserve"> HYPERLINK "https://www.slov-lex.sk/pravne-predpisy/SK/ZZ/2015/343/20230601.html" \l 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 </w:instrText>
      </w:r>
      <w:r>
        <w:rPr/>
        <w:fldChar w:fldCharType="separate"/>
      </w:r>
      <w:r>
        <w:rPr>
          <w:rStyle w:val="style85"/>
        </w:rPr>
        <w:t>§ 61 ods. 4</w:t>
      </w:r>
      <w:r>
        <w:rPr/>
        <w:fldChar w:fldCharType="end"/>
      </w:r>
      <w:r>
        <w:t xml:space="preserve"> </w:t>
      </w:r>
      <w:r>
        <w:t xml:space="preserve">ZVO </w:t>
      </w:r>
      <w:r>
        <w:t>je otváranie pon</w:t>
      </w:r>
      <w:r>
        <w:t>úk</w:t>
      </w:r>
      <w:r>
        <w:t xml:space="preserve"> neverejné, údaje z otvárania ponúk verejný obstarávateľ a obstarávateľ nezverejňuje a neposiela uchádzačom ani zápisnicu z otvárania ponúk.</w:t>
      </w:r>
      <w:bookmarkStart w:id="28" w:name="_Hlk72839631"/>
    </w:p>
    <w:bookmarkStart w:id="29" w:name="_Toc168057141"/>
    <w:bookmarkStart w:id="30" w:name="_Toc21598204"/>
    <w:bookmarkEnd w:id="28"/>
    <w:p>
      <w:pPr>
        <w:pStyle w:val="style2"/>
        <w:rPr/>
      </w:pPr>
      <w:r>
        <w:rPr>
          <w:lang w:val="sk-SK"/>
        </w:rPr>
        <w:t xml:space="preserve">Kritériá </w:t>
      </w:r>
      <w:r>
        <w:t>na vyhodnotenie ponúk a pravidlá ich uplatnenia</w:t>
      </w:r>
      <w:bookmarkEnd w:id="29"/>
      <w:r>
        <w:t xml:space="preserve"> </w:t>
      </w:r>
    </w:p>
    <w:commentRangeStart w:id="3"/>
    <w:p>
      <w:pPr>
        <w:pStyle w:val="style67"/>
        <w:numPr>
          <w:ilvl w:val="1"/>
          <w:numId w:val="1"/>
        </w:numPr>
        <w:spacing w:after="160"/>
        <w:ind w:left="567" w:hanging="567"/>
        <w:rPr>
          <w:rFonts w:eastAsia="TimesNewRomanPSMT"/>
          <w:color w:val="000000"/>
          <w:lang w:val="sk-SK"/>
        </w:rPr>
      </w:pPr>
      <w:r>
        <w:rPr>
          <w:rFonts w:eastAsia="TimesNewRomanPSMT"/>
          <w:color w:val="000000"/>
          <w:lang w:val="sk-SK"/>
        </w:rPr>
        <w:t>Kritérium</w:t>
      </w:r>
      <w:commentRangeEnd w:id="3"/>
      <w:r>
        <w:rPr>
          <w:rStyle w:val="style39"/>
          <w:rFonts w:ascii="Calibri" w:eastAsia="Calibri" w:hAnsi="Calibri"/>
          <w:lang w:eastAsia="en-US"/>
        </w:rPr>
        <w:commentReference w:id="3"/>
      </w:r>
      <w:r>
        <w:rPr>
          <w:rFonts w:eastAsia="TimesNewRomanPSMT"/>
          <w:color w:val="000000"/>
          <w:lang w:val="sk-SK"/>
        </w:rPr>
        <w:t xml:space="preserve"> na vyhodnotenie ponúk je: </w:t>
      </w:r>
      <w:r>
        <w:rPr>
          <w:b/>
          <w:highlight w:val="yellow"/>
        </w:rPr>
        <w:t>Najnižšia cena</w:t>
      </w:r>
      <w:r>
        <w:rPr>
          <w:lang w:val="sk-SK"/>
        </w:rPr>
        <w:t xml:space="preserve"> </w:t>
      </w:r>
      <w:r>
        <w:rPr>
          <w:rFonts w:eastAsia="TimesNewRomanPSMT"/>
          <w:b/>
          <w:bCs/>
          <w:color w:val="000000"/>
          <w:lang w:val="sk-SK"/>
        </w:rPr>
        <w:t>s DPH</w:t>
      </w:r>
      <w:r>
        <w:rPr>
          <w:rFonts w:eastAsia="TimesNewRomanPSMT"/>
          <w:color w:val="000000"/>
          <w:lang w:val="sk-SK"/>
        </w:rPr>
        <w:t xml:space="preserve"> za celý predmet zákazky</w:t>
      </w:r>
      <w:r>
        <w:rPr>
          <w:rFonts w:eastAsia="TimesNewRomanPSMT"/>
          <w:color w:val="000000"/>
          <w:lang w:val="sk-SK"/>
        </w:rPr>
        <w:t>.</w:t>
      </w:r>
    </w:p>
    <w:p>
      <w:pPr>
        <w:pStyle w:val="style67"/>
        <w:numPr>
          <w:ilvl w:val="1"/>
          <w:numId w:val="1"/>
        </w:numPr>
        <w:spacing w:before="160" w:after="160"/>
        <w:ind w:left="567" w:hanging="567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Navrhovaná cena  musí </w:t>
      </w:r>
      <w:r>
        <w:rPr>
          <w:rFonts w:eastAsia="TimesNewRomanPSMT"/>
          <w:b/>
          <w:bCs/>
          <w:color w:val="000000"/>
        </w:rPr>
        <w:t>zahŕňať všetky náklady</w:t>
      </w:r>
      <w:r>
        <w:rPr>
          <w:rFonts w:eastAsia="TimesNewRomanPSMT"/>
          <w:color w:val="000000"/>
        </w:rPr>
        <w:t>, ktoré súvisia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s plnením predmetu zákazky a taktiež aj primeraný zisk uchádzača.</w:t>
      </w:r>
    </w:p>
    <w:p>
      <w:pPr>
        <w:pStyle w:val="style67"/>
        <w:spacing w:before="160" w:after="160"/>
        <w:ind w:left="567"/>
        <w:rPr>
          <w:rFonts w:eastAsia="TimesNewRomanPSMT"/>
          <w:color w:val="000000"/>
        </w:rPr>
      </w:pPr>
    </w:p>
    <w:p>
      <w:pPr>
        <w:pStyle w:val="style67"/>
        <w:spacing w:after="160"/>
        <w:ind w:left="567" w:hanging="567"/>
        <w:rPr>
          <w:rFonts w:eastAsia="TimesNewRomanPSMT"/>
          <w:b/>
          <w:bCs/>
          <w:szCs w:val="24"/>
        </w:rPr>
      </w:pPr>
      <w:r>
        <w:rPr>
          <w:rFonts w:eastAsia="TimesNewRomanPSMT"/>
          <w:b/>
          <w:bCs/>
          <w:szCs w:val="24"/>
        </w:rPr>
        <w:t>Rozhodné kritérium v prípade rovnosti ponúk</w:t>
      </w:r>
    </w:p>
    <w:p>
      <w:pPr>
        <w:pStyle w:val="style67"/>
        <w:numPr>
          <w:ilvl w:val="1"/>
          <w:numId w:val="1"/>
        </w:numPr>
        <w:spacing w:after="160"/>
        <w:ind w:left="567" w:hanging="567"/>
        <w:rPr>
          <w:rFonts w:eastAsia="TimesNewRomanPSMT"/>
          <w:color w:val="000000"/>
          <w:lang w:val="sk-SK"/>
        </w:rPr>
      </w:pPr>
      <w:r>
        <w:rPr>
          <w:rFonts w:eastAsia="TimesNewRomanPSMT"/>
          <w:color w:val="000000"/>
          <w:lang w:val="sk-SK"/>
        </w:rPr>
        <w:t xml:space="preserve">V prípade ak po vyhodnotení ponúk nie je možné určiť úspešného uchádzača, budú vyzvaní tí uchádzači, medzi ktorými je potrebné určiť úspešného, aby v lehote nie kratšej ako dva </w:t>
      </w:r>
      <w:r>
        <w:rPr>
          <w:rFonts w:eastAsia="TimesNewRomanPSMT"/>
          <w:color w:val="000000"/>
          <w:lang w:val="sk-SK"/>
        </w:rPr>
        <w:t xml:space="preserve">pracovné dni upravili svoje cenové ponuky, prípadne potvrdili ich aktuálnu výšku. Úspešným sa stane uchádzač, ktorého cenová ponuka bude nižšia. Tento postup sa môže aj opakovať. </w:t>
      </w:r>
      <w:r>
        <w:rPr>
          <w:rStyle w:val="style38"/>
          <w:rFonts w:eastAsia="TimesNewRomanPSMT"/>
          <w:color w:val="000000"/>
          <w:lang w:val="sk-SK"/>
        </w:rPr>
        <w:footnoteReference w:id="1"/>
      </w:r>
    </w:p>
    <w:bookmarkStart w:id="31" w:name="_Toc488059688"/>
    <w:bookmarkStart w:id="32" w:name="_Toc21598212"/>
    <w:bookmarkStart w:id="33" w:name="_Toc168057142"/>
    <w:bookmarkEnd w:id="30"/>
    <w:p>
      <w:pPr>
        <w:pStyle w:val="style2"/>
        <w:rPr/>
      </w:pPr>
      <w:r>
        <w:t>Vyhodnotenie ponúk</w:t>
      </w:r>
      <w:bookmarkEnd w:id="31"/>
      <w:bookmarkEnd w:id="32"/>
      <w:bookmarkEnd w:id="33"/>
    </w:p>
    <w:p>
      <w:pPr>
        <w:pStyle w:val="style179"/>
        <w:numPr>
          <w:ilvl w:val="1"/>
          <w:numId w:val="1"/>
        </w:numPr>
        <w:autoSpaceDE w:val="false"/>
        <w:autoSpaceDN w:val="false"/>
        <w:adjustRightInd w:val="false"/>
        <w:spacing w:after="160"/>
        <w:ind w:left="567" w:hanging="567"/>
        <w:jc w:val="both"/>
        <w:rPr>
          <w:rFonts w:eastAsia="TimesNewRomanPSMT"/>
          <w:color w:val="ff0000"/>
        </w:rPr>
      </w:pPr>
      <w:r>
        <w:rPr>
          <w:rFonts w:eastAsia="TimesNewRomanPSMT"/>
        </w:rPr>
        <w:t xml:space="preserve">Vyhodnotenie ponúk z hľadiska splnenia požiadaviek na predmet zákazky sa uskutoční po vyhodnotení ponúk na základe kritérií na vyhodnotenie ponúk, pričom </w:t>
      </w:r>
      <w:r>
        <w:rPr>
          <w:rFonts w:eastAsia="TimesNewRomanPSMT"/>
        </w:rPr>
        <w:t xml:space="preserve">sa </w:t>
      </w:r>
      <w:r>
        <w:rPr>
          <w:rFonts w:eastAsia="TimesNewRomanPSMT"/>
        </w:rPr>
        <w:t xml:space="preserve">postupuje primerane podľa </w:t>
      </w:r>
      <w:r>
        <w:rPr/>
        <w:fldChar w:fldCharType="begin"/>
      </w:r>
      <w:r>
        <w:instrText xml:space="preserve"> HYPERLINK "https://www.slov-lex.sk/pravne-predpisy/SK/ZZ/2015/343/" \l "paragraf-55.odsek-1" </w:instrText>
      </w:r>
      <w:r>
        <w:rPr/>
        <w:fldChar w:fldCharType="separate"/>
      </w:r>
      <w:r>
        <w:rPr>
          <w:rStyle w:val="style85"/>
          <w:rFonts w:eastAsia="TimesNewRomanPSMT"/>
        </w:rPr>
        <w:t>§ 55 ods. 1</w:t>
      </w:r>
      <w:r>
        <w:rPr/>
        <w:fldChar w:fldCharType="end"/>
      </w:r>
      <w:r>
        <w:rPr>
          <w:rFonts w:eastAsia="TimesNewRomanPSMT"/>
          <w:color w:val="ff0000"/>
        </w:rPr>
        <w:t xml:space="preserve"> </w:t>
      </w:r>
      <w:r>
        <w:rPr>
          <w:rFonts w:eastAsia="TimesNewRomanPSMT"/>
        </w:rPr>
        <w:t>ZVO</w:t>
      </w:r>
      <w:r>
        <w:rPr>
          <w:rFonts w:eastAsia="TimesNewRomanPSMT"/>
        </w:rPr>
        <w:t xml:space="preserve"> a </w:t>
      </w:r>
      <w:r>
        <w:rPr>
          <w:rFonts w:eastAsia="TimesNewRomanPSMT"/>
          <w:b/>
          <w:bCs/>
        </w:rPr>
        <w:t xml:space="preserve">bodov 10.2 a 10.3 </w:t>
      </w:r>
      <w:r>
        <w:rPr>
          <w:rFonts w:eastAsia="TimesNewRomanPSMT"/>
        </w:rPr>
        <w:t>týchto súťažných podkladov.</w:t>
      </w:r>
    </w:p>
    <w:p>
      <w:pPr>
        <w:pStyle w:val="style179"/>
        <w:numPr>
          <w:ilvl w:val="1"/>
          <w:numId w:val="1"/>
        </w:numPr>
        <w:autoSpaceDE w:val="false"/>
        <w:autoSpaceDN w:val="false"/>
        <w:adjustRightInd w:val="false"/>
        <w:spacing w:before="160" w:after="160"/>
        <w:ind w:left="567" w:hanging="567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Verejný obstarávateľ </w:t>
      </w:r>
      <w:r>
        <w:rPr>
          <w:rFonts w:eastAsia="TimesNewRomanPSMT"/>
          <w:color w:val="000000"/>
        </w:rPr>
        <w:t>po otvorení ponúk vytvorí predbežné poradie uchádzačov, a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 xml:space="preserve">až následne si </w:t>
      </w:r>
      <w:r>
        <w:rPr>
          <w:rFonts w:eastAsia="TimesNewRomanPSMT"/>
          <w:color w:val="000000"/>
        </w:rPr>
        <w:t xml:space="preserve">od uchádzača </w:t>
      </w:r>
      <w:r>
        <w:rPr>
          <w:rFonts w:eastAsia="TimesNewRomanPSMT"/>
          <w:b/>
          <w:bCs/>
          <w:color w:val="000000"/>
        </w:rPr>
        <w:t>umiestneného predbežne na 1. mieste</w:t>
      </w:r>
      <w:r>
        <w:rPr>
          <w:rFonts w:eastAsia="TimesNewRomanPSMT"/>
          <w:color w:val="000000"/>
        </w:rPr>
        <w:t xml:space="preserve"> vyžiada v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lehote nie kratšej ako dva pracovné dni, aby doplnil nasledovné doklady:</w:t>
      </w:r>
    </w:p>
    <w:p>
      <w:pPr>
        <w:pStyle w:val="style179"/>
        <w:numPr>
          <w:ilvl w:val="3"/>
          <w:numId w:val="23"/>
        </w:numPr>
        <w:autoSpaceDE w:val="false"/>
        <w:autoSpaceDN w:val="false"/>
        <w:adjustRightInd w:val="false"/>
        <w:spacing w:before="160" w:after="160"/>
        <w:ind w:left="851" w:hanging="283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bCs/>
          <w:color w:val="000000"/>
        </w:rPr>
        <w:t>opis ponúkaného tovaru</w:t>
      </w:r>
      <w:r>
        <w:rPr>
          <w:rFonts w:eastAsia="TimesNewRomanPSMT"/>
          <w:color w:val="000000"/>
        </w:rPr>
        <w:t xml:space="preserve"> preukazujúci splnenie požiadaviek verejného obstarávateľa na predmet zákazky (napr. </w:t>
      </w:r>
      <w:r>
        <w:rPr>
          <w:rFonts w:eastAsia="TimesNewRomanPSMT"/>
          <w:color w:val="000000"/>
        </w:rPr>
        <w:t>odkaz na webovú stránku dodávateľa, produktový list, technický list</w:t>
      </w:r>
      <w:r>
        <w:rPr>
          <w:rFonts w:eastAsia="TimesNewRomanPSMT"/>
          <w:color w:val="000000"/>
        </w:rPr>
        <w:t xml:space="preserve">, </w:t>
      </w:r>
      <w:r>
        <w:rPr>
          <w:rFonts w:eastAsia="TimesNewRomanPSMT"/>
          <w:color w:val="000000"/>
        </w:rPr>
        <w:t>a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pod.), a</w:t>
      </w:r>
    </w:p>
    <w:p>
      <w:pPr>
        <w:pStyle w:val="style179"/>
        <w:numPr>
          <w:ilvl w:val="3"/>
          <w:numId w:val="23"/>
        </w:numPr>
        <w:autoSpaceDE w:val="false"/>
        <w:autoSpaceDN w:val="false"/>
        <w:adjustRightInd w:val="false"/>
        <w:spacing w:before="160" w:after="160"/>
        <w:ind w:left="851" w:hanging="283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bCs/>
          <w:color w:val="000000"/>
        </w:rPr>
        <w:t>položkový</w:t>
      </w:r>
      <w:r>
        <w:rPr>
          <w:rFonts w:eastAsia="TimesNewRomanPSMT"/>
          <w:b/>
          <w:bCs/>
          <w:color w:val="000000"/>
        </w:rPr>
        <w:t xml:space="preserve"> rozpočet </w:t>
      </w:r>
      <w:r>
        <w:rPr>
          <w:rFonts w:eastAsia="TimesNewRomanPSMT"/>
          <w:color w:val="000000"/>
        </w:rPr>
        <w:t>spolu s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 xml:space="preserve">čestnými vyhláseniami; vzor </w:t>
      </w:r>
      <w:r>
        <w:rPr>
          <w:rFonts w:eastAsia="TimesNewRomanPSMT"/>
          <w:color w:val="000000"/>
        </w:rPr>
        <w:t>položkového</w:t>
      </w:r>
      <w:r>
        <w:rPr>
          <w:rFonts w:eastAsia="TimesNewRomanPSMT"/>
          <w:color w:val="000000"/>
        </w:rPr>
        <w:t xml:space="preserve"> rozpočtu a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čestných vyhlásení zašle verejný obstarávateľ spolu so žiadosťou.</w:t>
      </w:r>
    </w:p>
    <w:bookmarkStart w:id="34" w:name="_Hlk174026060"/>
    <w:p>
      <w:pPr>
        <w:pStyle w:val="style179"/>
        <w:numPr>
          <w:ilvl w:val="1"/>
          <w:numId w:val="1"/>
        </w:numPr>
        <w:autoSpaceDE w:val="false"/>
        <w:autoSpaceDN w:val="false"/>
        <w:adjustRightInd w:val="false"/>
        <w:spacing w:before="160" w:after="160"/>
        <w:ind w:left="567" w:hanging="567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Verejný obstarávateľ si za účelom </w:t>
      </w:r>
      <w:r>
        <w:rPr>
          <w:rFonts w:eastAsia="TimesNewRomanPSMT"/>
          <w:b/>
          <w:bCs/>
          <w:color w:val="000000"/>
        </w:rPr>
        <w:t>urýchl</w:t>
      </w:r>
      <w:r>
        <w:rPr>
          <w:rFonts w:eastAsia="TimesNewRomanPSMT"/>
          <w:b/>
          <w:bCs/>
          <w:color w:val="000000"/>
        </w:rPr>
        <w:t>enia</w:t>
      </w:r>
      <w:r>
        <w:rPr>
          <w:rFonts w:eastAsia="TimesNewRomanPSMT"/>
          <w:b/>
          <w:bCs/>
          <w:color w:val="000000"/>
        </w:rPr>
        <w:t xml:space="preserve"> proces</w:t>
      </w:r>
      <w:r>
        <w:rPr>
          <w:rFonts w:eastAsia="TimesNewRomanPSMT"/>
          <w:b/>
          <w:bCs/>
          <w:color w:val="000000"/>
        </w:rPr>
        <w:t>u</w:t>
      </w:r>
      <w:r>
        <w:rPr>
          <w:rFonts w:eastAsia="TimesNewRomanPSMT"/>
          <w:b/>
          <w:bCs/>
          <w:color w:val="000000"/>
        </w:rPr>
        <w:t xml:space="preserve"> hodnotenia</w:t>
      </w:r>
      <w:r>
        <w:rPr>
          <w:rFonts w:eastAsia="TimesNewRomanPSMT"/>
          <w:b/>
          <w:bCs/>
          <w:color w:val="000000"/>
        </w:rPr>
        <w:t xml:space="preserve"> ponúk</w:t>
      </w:r>
      <w:r>
        <w:rPr>
          <w:rFonts w:eastAsia="TimesNewRomanPSMT"/>
          <w:color w:val="000000"/>
        </w:rPr>
        <w:t xml:space="preserve"> vyhradzuje právo vyžiadať predloženie</w:t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 xml:space="preserve">dokladov podľa predchádzajúceho bodu aj </w:t>
      </w:r>
      <w:r>
        <w:rPr>
          <w:rFonts w:eastAsia="TimesNewRomanPSMT"/>
          <w:color w:val="000000"/>
        </w:rPr>
        <w:t>od</w:t>
      </w:r>
      <w:r>
        <w:rPr>
          <w:rFonts w:eastAsia="TimesNewRomanPSMT"/>
          <w:color w:val="000000"/>
        </w:rPr>
        <w:t xml:space="preserve"> uchádzačov, ktorí sa predbežne umiestnili na druhom alebo na druhom a treťom mieste v poradí.</w:t>
      </w:r>
    </w:p>
    <w:bookmarkStart w:id="35" w:name="_Toc488059690"/>
    <w:bookmarkStart w:id="36" w:name="_Toc21598214"/>
    <w:bookmarkStart w:id="37" w:name="_Toc168057143"/>
    <w:bookmarkEnd w:id="34"/>
    <w:p>
      <w:pPr>
        <w:pStyle w:val="style2"/>
        <w:rPr/>
      </w:pPr>
      <w:r>
        <w:t>Informácia o výsledku vyhodnotenia ponúk a uzavretie zmluvy</w:t>
      </w:r>
      <w:bookmarkEnd w:id="35"/>
      <w:bookmarkEnd w:id="36"/>
      <w:bookmarkEnd w:id="37"/>
    </w:p>
    <w:p>
      <w:pPr>
        <w:pStyle w:val="style0"/>
        <w:autoSpaceDE w:val="false"/>
        <w:autoSpaceDN w:val="false"/>
        <w:adjustRightInd w:val="false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Verejný obstarávateľ zašle v súlade s </w:t>
      </w:r>
      <w:r>
        <w:rPr/>
        <w:fldChar w:fldCharType="begin"/>
      </w:r>
      <w:r>
        <w:instrText xml:space="preserve"> HYPERLINK "https://www.slov-lex.sk/pravne-predpisy/SK/ZZ/2015/343/" \l "paragraf-55" </w:instrText>
      </w:r>
      <w:r>
        <w:rPr/>
        <w:fldChar w:fldCharType="separate"/>
      </w:r>
      <w:r>
        <w:rPr>
          <w:rStyle w:val="style85"/>
          <w:rFonts w:eastAsia="TimesNewRomanPSMT"/>
        </w:rPr>
        <w:t>§ 55</w:t>
      </w:r>
      <w:r>
        <w:rPr/>
        <w:fldChar w:fldCharType="end"/>
      </w:r>
      <w:r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ZVO</w:t>
      </w:r>
      <w:r>
        <w:rPr>
          <w:rFonts w:eastAsia="TimesNewRomanPSMT"/>
          <w:color w:val="000000"/>
        </w:rPr>
        <w:t xml:space="preserve"> informáciu o výsledku vyhodnotenia ponúk</w:t>
      </w:r>
      <w:r>
        <w:rPr>
          <w:color w:val="000000"/>
        </w:rPr>
        <w:t xml:space="preserve">. </w:t>
      </w:r>
      <w:r>
        <w:rPr>
          <w:rFonts w:eastAsia="TimesNewRomanPSMT"/>
          <w:color w:val="000000"/>
        </w:rPr>
        <w:t xml:space="preserve">Verejný obstarávateľ pristúpi k uzavretiu zmluvy </w:t>
      </w:r>
      <w:r>
        <w:rPr>
          <w:rFonts w:eastAsia="TimesNewRomanPSMT"/>
          <w:color w:val="000000"/>
        </w:rPr>
        <w:t xml:space="preserve">podľa </w:t>
      </w:r>
      <w:r>
        <w:rPr/>
        <w:fldChar w:fldCharType="begin"/>
      </w:r>
      <w:r>
        <w:instrText xml:space="preserve"> HYPERLINK "https://www.slov-lex.sk/pravne-predpisy/SK/ZZ/2015/343/" \l "paragraf-56" </w:instrText>
      </w:r>
      <w:r>
        <w:rPr/>
        <w:fldChar w:fldCharType="separate"/>
      </w:r>
      <w:r>
        <w:rPr>
          <w:rStyle w:val="style85"/>
          <w:rFonts w:eastAsia="TimesNewRomanPSMT"/>
        </w:rPr>
        <w:t>§ 56</w:t>
      </w:r>
      <w:r>
        <w:rPr/>
        <w:fldChar w:fldCharType="end"/>
      </w:r>
      <w:r>
        <w:rPr>
          <w:rFonts w:eastAsia="TimesNewRomanPSMT"/>
          <w:color w:val="000000"/>
        </w:rPr>
        <w:t xml:space="preserve"> ZVO</w:t>
      </w:r>
      <w:r>
        <w:rPr>
          <w:rFonts w:eastAsia="TimesNewRomanPSMT"/>
          <w:color w:val="000000"/>
        </w:rPr>
        <w:t xml:space="preserve">. </w:t>
      </w:r>
    </w:p>
    <w:bookmarkStart w:id="38" w:name="_Toc168057144"/>
    <w:p>
      <w:pPr>
        <w:pStyle w:val="style2"/>
        <w:rPr/>
      </w:pPr>
      <w:r>
        <w:t>Komunikácia a </w:t>
      </w:r>
      <w:r>
        <w:rPr>
          <w:lang w:val="sk-SK"/>
        </w:rPr>
        <w:t>doručovanie</w:t>
      </w:r>
      <w:bookmarkEnd w:id="38"/>
      <w:r>
        <w:t xml:space="preserve"> </w:t>
      </w:r>
    </w:p>
    <w:p>
      <w:pPr>
        <w:pStyle w:val="style157"/>
        <w:numPr>
          <w:ilvl w:val="1"/>
          <w:numId w:val="1"/>
        </w:numPr>
        <w:spacing w:after="160"/>
        <w:ind w:left="567" w:hanging="567"/>
        <w:jc w:val="both"/>
        <w:rPr/>
      </w:pPr>
      <w:r>
        <w:t xml:space="preserve">Komunikácia medzi verejným obstarávateľom a záujemcom/uchádzačom sa </w:t>
      </w:r>
      <w:r>
        <w:t xml:space="preserve">počas celého procesu </w:t>
      </w:r>
      <w:r>
        <w:t>uskutočňuje v</w:t>
      </w:r>
      <w:r>
        <w:t> </w:t>
      </w:r>
      <w:r>
        <w:t>slovenskom alebo českom jazyku výhradne prostredníctvom informačného systému J</w:t>
      </w:r>
      <w:r>
        <w:t>OSEPHINE</w:t>
      </w:r>
      <w:r>
        <w:t>, prevádzkovaného na elektronickej adrese:</w:t>
      </w:r>
      <w:r>
        <w:t xml:space="preserve"> </w:t>
      </w:r>
      <w:r>
        <w:rPr>
          <w:rStyle w:val="style85"/>
          <w:highlight w:val="yellow"/>
        </w:rPr>
        <w:t>https://josephine.proebiz.com/sk/tender/70431/summary</w:t>
      </w:r>
    </w:p>
    <w:p>
      <w:pPr>
        <w:pStyle w:val="style157"/>
        <w:numPr>
          <w:ilvl w:val="1"/>
          <w:numId w:val="1"/>
        </w:numPr>
        <w:spacing w:after="160"/>
        <w:ind w:left="567" w:hanging="567"/>
        <w:jc w:val="both"/>
        <w:rPr/>
      </w:pPr>
      <w:r>
        <w:t>Na používanie systému J</w:t>
      </w:r>
      <w:r>
        <w:t>OSEPHINE</w:t>
      </w:r>
      <w:r>
        <w:t xml:space="preserve"> je nutné </w:t>
      </w:r>
      <w:r>
        <w:t>spĺňať nasledovné technické požiadavky</w:t>
      </w:r>
      <w:r>
        <w:t>:</w:t>
      </w:r>
      <w:r>
        <w:rPr/>
        <w:fldChar w:fldCharType="begin"/>
      </w:r>
      <w:r>
        <w:instrText xml:space="preserve"> HYPERLINK "https://store.proebiz.com/docs/josephine/sk/Technicke_poziadavky_sw_JOSEPHINE.pdf" </w:instrText>
      </w:r>
      <w:r>
        <w:rPr/>
        <w:fldChar w:fldCharType="separate"/>
      </w:r>
      <w:r>
        <w:rPr>
          <w:rStyle w:val="style85"/>
        </w:rPr>
        <w:t>https://store.proebiz.com/docs/josephine/sk/Technicke_poziadavky_sw_JOSEPHINE.pdf</w:t>
      </w:r>
      <w:r>
        <w:rPr/>
        <w:fldChar w:fldCharType="end"/>
      </w:r>
      <w:r>
        <w:t xml:space="preserve"> </w:t>
      </w:r>
    </w:p>
    <w:p>
      <w:pPr>
        <w:pStyle w:val="style157"/>
        <w:numPr>
          <w:ilvl w:val="1"/>
          <w:numId w:val="1"/>
        </w:numPr>
        <w:spacing w:after="160"/>
        <w:ind w:left="567" w:hanging="567"/>
        <w:jc w:val="both"/>
        <w:rPr/>
      </w:pPr>
      <w:r>
        <w:rPr>
          <w:bCs/>
        </w:rPr>
        <w:t>Za okamih doručenia sa v systéme JOSEPHINE považuje okamih odoslania správy v systéme JOSEPHINE, a to v súlade s funkcionalitou systému.</w:t>
      </w:r>
    </w:p>
    <w:p>
      <w:pPr>
        <w:pStyle w:val="style0"/>
        <w:autoSpaceDE w:val="false"/>
        <w:autoSpaceDN w:val="false"/>
        <w:adjustRightInd w:val="false"/>
        <w:jc w:val="both"/>
        <w:rPr>
          <w:rFonts w:eastAsia="Arial"/>
          <w:b/>
          <w:bCs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 w:orient="portrait"/>
      <w:pgMar w:top="1191" w:right="1191" w:bottom="1191" w:left="1191" w:header="709" w:footer="709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comment w:id="1" w:author="Martin Nociar" w:date="2025-07-30T15:27:00Z" w:initials="Martin No">
    <w:p w14:paraId="1">
      <w:pPr>
        <w:pStyle w:val="style30"/>
        <w:rPr/>
      </w:pPr>
      <w:r>
        <w:rPr>
          <w:rStyle w:val="style39"/>
        </w:rPr>
        <w:annotationRef/>
      </w:r>
      <w:r>
        <w:rPr>
          <w:rStyle w:val="style39"/>
        </w:rPr>
        <w:t>Možnosti:</w:t>
        <w:cr/>
        <w:cr/>
        <w:t>Uzavretie zmluvy (príloha č. XY)</w:t>
        <w:cr/>
        <w:t>Uzavretie rámcovej dohody (príloha č. XY)</w:t>
        <w:cr/>
        <w:t>Vystavenie objednávky riadiacej sa Všeobecnými obchodnými podmienkami mesta (príloha č. XY)</w:t>
      </w:r>
    </w:p>
  </w:comment>
  <w:comment w:id="2" w:author="Martin Nociar" w:date="2025-01-14T13:15:00Z" w:initials="Martin No">
    <w:p w14:paraId="2">
      <w:pPr>
        <w:pStyle w:val="style30"/>
        <w:rPr/>
      </w:pPr>
      <w:r>
        <w:rPr>
          <w:rStyle w:val="style39"/>
        </w:rPr>
        <w:annotationRef/>
      </w:r>
      <w:r>
        <w:rPr>
          <w:rStyle w:val="style39"/>
        </w:rPr>
        <w:t>Máme 3 možnosti:</w:t>
        <w:cr/>
        <w:cr/>
        <w:t>Ak máme určenú PHZ a chceme uviesť, uvedieme.</w:t>
        <w:br/>
        <w:cr/>
        <w:t>Ak máme PHZ a nechceme ju uviesť, napíšme:</w:t>
        <w:br/>
        <w:br/>
        <w:t>„Verejný obstarávateľ sa rozhodol predpokladanú hodnotu zákazky nezverejniť.“</w:t>
        <w:br/>
        <w:cr/>
        <w:t xml:space="preserve">Ak nemáme PHZ, v takom prípade napíšeme: </w:t>
        <w:cr/>
        <w:cr/>
        <w:t>„PHZ nie je stanovená a cenové ponuky predložené v tejto súťaži budú slúžiť aj na stanovenie PHZ.“</w:t>
      </w:r>
    </w:p>
  </w:comment>
  <w:comment w:id="3" w:author="Martin Nociar" w:date="2025-07-30T15:52:00Z" w:initials="Martin No">
    <w:p w14:paraId="3">
      <w:pPr>
        <w:pStyle w:val="style30"/>
        <w:rPr/>
      </w:pPr>
      <w:r>
        <w:rPr>
          <w:rStyle w:val="style39"/>
        </w:rPr>
        <w:annotationRef/>
      </w:r>
      <w:r>
        <w:rPr>
          <w:rStyle w:val="style39"/>
        </w:rPr>
        <w:t>Vložiť kritériá podľa toho, aké sa používajú</w:t>
      </w:r>
    </w:p>
  </w:comment>
</w:comments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  <w15:commentEx w15:paraId="2"/>
  <w15:commentEx w15:paraId="3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005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ee"/>
    <w:family w:val="roman"/>
    <w:pitch w:val="variable"/>
    <w:sig w:usb0="00000287" w:usb1="00000000" w:usb2="00000000" w:usb3="00000000" w:csb0="000000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  <w:lang w:val="sk-SK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29"/>
        <w:rPr/>
      </w:pPr>
      <w:r>
        <w:rPr>
          <w:rStyle w:val="style38"/>
        </w:rPr>
        <w:footnoteRef/>
      </w:r>
      <w:r>
        <w:t xml:space="preserve"> </w:t>
      </w:r>
      <w:r>
        <w:rPr>
          <w:rFonts w:eastAsia="TimesNewRomanPSMT"/>
          <w:color w:val="000000"/>
        </w:rPr>
        <w:t>Verejný obstarávateľ počas plynutia lehoty na úpravu cenovej ponuky</w:t>
      </w:r>
      <w:r>
        <w:rPr>
          <w:rFonts w:eastAsia="TimesNewRomanPSMT"/>
          <w:color w:val="000000"/>
        </w:rPr>
        <w:t>,</w:t>
      </w:r>
      <w:r>
        <w:rPr>
          <w:rFonts w:eastAsia="TimesNewRomanPSMT"/>
          <w:color w:val="000000"/>
        </w:rPr>
        <w:t xml:space="preserve"> neotvorí doručený návrh. Túto skutočnosť je možné jednoducho overiť prostredníctvom systémových logov, ktoré automaticky generuje informačný systém a ktorý je k dispozícii kontrolným orgánom</w:t>
      </w:r>
      <w:r>
        <w:rPr>
          <w:rFonts w:eastAsia="TimesNewRomanPSMT"/>
          <w:color w:val="000000"/>
        </w:rPr>
        <w:t>.</w:t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Style w:val="style15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8"/>
      <w:gridCol w:w="8156"/>
    </w:tblGrid>
    <w:tr>
      <w:trPr/>
      <w:tc>
        <w:tcPr>
          <w:tcW w:w="1358" w:type="dxa"/>
          <w:vMerge w:val="restart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rPr>
              <w:sz w:val="22"/>
            </w:rPr>
          </w:pPr>
          <w:bookmarkStart w:id="39" w:name="_Hlk68613026"/>
          <w:bookmarkStart w:id="40" w:name="_Hlk68613027"/>
          <w:r>
            <w:rPr>
              <w:b/>
              <w:bCs/>
              <w:noProof/>
              <w:sz w:val="22"/>
            </w:rPr>
            <w:drawing>
              <wp:inline distL="0" distT="0" distB="0" distR="0">
                <wp:extent cx="766729" cy="768350"/>
                <wp:effectExtent l="0" t="0" r="0" b="0"/>
                <wp:docPr id="4097" name="Obrázok 3" descr="Obrázok, na ktorom je grafika, pestrofarebnosť, snímka obrazovky, kruh&#10;&#10;Obsah vygenerovaný pomocou AI môže byť nesprávny.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766729" cy="76835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6" w:type="dxa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jc w:val="center"/>
            <w:rPr>
              <w:bCs/>
              <w:szCs w:val="24"/>
            </w:rPr>
          </w:pPr>
        </w:p>
      </w:tc>
    </w:tr>
    <w:tr>
      <w:tblPrEx/>
      <w:trPr/>
      <w:tc>
        <w:tcPr>
          <w:tcW w:w="1358" w:type="dxa"/>
          <w:vMerge w:val="continue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rPr>
              <w:sz w:val="22"/>
            </w:rPr>
          </w:pPr>
        </w:p>
      </w:tc>
      <w:tc>
        <w:tcPr>
          <w:tcW w:w="8156" w:type="dxa"/>
          <w:tcBorders/>
        </w:tcPr>
        <w:p>
          <w:pPr>
            <w:pStyle w:val="style0"/>
            <w:tabs>
              <w:tab w:val="left" w:leader="none" w:pos="1060"/>
              <w:tab w:val="right" w:leader="none" w:pos="7885"/>
            </w:tabs>
            <w:rPr>
              <w:bCs/>
              <w:szCs w:val="24"/>
            </w:rPr>
          </w:pPr>
          <w:r>
            <w:rPr>
              <w:bCs/>
              <w:szCs w:val="24"/>
            </w:rPr>
            <w:tab/>
          </w:r>
          <w:r>
            <w:rPr>
              <w:bCs/>
              <w:szCs w:val="24"/>
            </w:rPr>
            <w:tab/>
          </w:r>
          <w:r>
            <w:rPr>
              <w:bCs/>
              <w:szCs w:val="24"/>
            </w:rPr>
            <w:t>„</w:t>
          </w:r>
          <w:r>
            <w:rPr>
              <w:bCs/>
              <w:szCs w:val="24"/>
              <w:highlight w:val="yellow"/>
            </w:rPr>
            <w:t>Zabezpečenie centrálneho nákupu hygienických potrieb pre Hlavné mesto SR Bratislava a ďalšie subjekty“</w:t>
          </w:r>
        </w:p>
        <w:p>
          <w:pPr>
            <w:pStyle w:val="style31"/>
            <w:tabs>
              <w:tab w:val="clear" w:pos="4536"/>
              <w:tab w:val="clear" w:pos="9072"/>
            </w:tabs>
            <w:ind w:right="-144"/>
            <w:jc w:val="right"/>
            <w:rPr>
              <w:szCs w:val="24"/>
            </w:rPr>
          </w:pPr>
        </w:p>
      </w:tc>
    </w:tr>
    <w:bookmarkEnd w:id="39"/>
    <w:bookmarkEnd w:id="40"/>
  </w:tbl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bullet"/>
      <w:lvlText w:val="-"/>
      <w:lvlJc w:val="left"/>
      <w:pPr>
        <w:tabs>
          <w:tab w:val="left" w:leader="none" w:pos="2759"/>
        </w:tabs>
        <w:ind w:left="3479" w:hanging="360"/>
      </w:pPr>
      <w:rPr>
        <w:rFonts w:ascii="Times New Roman" w:cs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leader="none" w:pos="2759"/>
        </w:tabs>
        <w:ind w:left="4199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759"/>
        </w:tabs>
        <w:ind w:left="4919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759"/>
        </w:tabs>
        <w:ind w:left="5639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2759"/>
        </w:tabs>
        <w:ind w:left="6359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2759"/>
        </w:tabs>
        <w:ind w:left="7079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2759"/>
        </w:tabs>
        <w:ind w:left="7799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2759"/>
        </w:tabs>
        <w:ind w:left="8519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2759"/>
        </w:tabs>
        <w:ind w:left="9239" w:hanging="360"/>
      </w:pPr>
      <w:rPr>
        <w:rFonts w:ascii="Wingdings" w:cs="Wingdings" w:hAnsi="Wingdings"/>
      </w:rPr>
    </w:lvl>
  </w:abstractNum>
  <w:abstractNum w:abstractNumId="1">
    <w:nsid w:val="00000001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left" w:leader="none" w:pos="0"/>
        </w:tabs>
        <w:ind w:left="2137" w:hanging="360"/>
      </w:pPr>
      <w:rPr>
        <w:rFonts w:ascii="Calibri" w:cs="Calibri" w:hAnsi="Calibri"/>
        <w:b/>
        <w:bCs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2857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3577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4297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5017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5737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6457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7177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7897" w:hanging="360"/>
      </w:pPr>
      <w:rPr>
        <w:rFonts w:ascii="Wingdings" w:cs="Wingdings" w:hAnsi="Wingdings"/>
      </w:rPr>
    </w:lvl>
  </w:abstractNum>
  <w:abstractNum w:abstractNumId="2">
    <w:nsid w:val="00000002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left" w:leader="none" w:pos="0"/>
        </w:tabs>
        <w:ind w:left="2137" w:hanging="360"/>
      </w:pPr>
      <w:rPr>
        <w:rFonts w:ascii="Calibri" w:cs="Calibri" w:hAnsi="Calibri"/>
        <w:b/>
        <w:bCs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2857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3577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4297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5017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5737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6457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7177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7897" w:hanging="360"/>
      </w:pPr>
      <w:rPr>
        <w:rFonts w:ascii="Wingdings" w:cs="Wingdings" w:hAnsi="Wingdings"/>
      </w:rPr>
    </w:lvl>
  </w:abstractNum>
  <w:abstractNum w:abstractNumId="3">
    <w:nsid w:val="00000003"/>
    <w:multiLevelType w:val="multilevel"/>
    <w:tmpl w:val="E13C58B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0000007"/>
    <w:multiLevelType w:val="hybridMultilevel"/>
    <w:tmpl w:val="80CA393E"/>
    <w:lvl w:ilvl="0" w:tplc="3594F2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0000008"/>
    <w:multiLevelType w:val="hybridMultilevel"/>
    <w:tmpl w:val="BCFCADB0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fals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7807E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98A3D1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3A5E8FE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cs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5F2A7F4"/>
    <w:lvl w:ilvl="0" w:tplc="C1E4E42E">
      <w:start w:val="1"/>
      <w:numFmt w:val="decimal"/>
      <w:lvlText w:val="%1."/>
      <w:lvlJc w:val="left"/>
      <w:pPr>
        <w:ind w:left="1020" w:hanging="360"/>
      </w:pPr>
    </w:lvl>
    <w:lvl w:ilvl="1" w:tplc="67C4486E">
      <w:start w:val="1"/>
      <w:numFmt w:val="decimal"/>
      <w:lvlText w:val="%2."/>
      <w:lvlJc w:val="left"/>
      <w:pPr>
        <w:ind w:left="1020" w:hanging="360"/>
      </w:pPr>
    </w:lvl>
    <w:lvl w:ilvl="2" w:tplc="30D6F310">
      <w:start w:val="1"/>
      <w:numFmt w:val="decimal"/>
      <w:lvlText w:val="%3."/>
      <w:lvlJc w:val="left"/>
      <w:pPr>
        <w:ind w:left="1020" w:hanging="360"/>
      </w:pPr>
    </w:lvl>
    <w:lvl w:ilvl="3" w:tplc="6B22674C">
      <w:start w:val="1"/>
      <w:numFmt w:val="decimal"/>
      <w:lvlText w:val="%4."/>
      <w:lvlJc w:val="left"/>
      <w:pPr>
        <w:ind w:left="1020" w:hanging="360"/>
      </w:pPr>
    </w:lvl>
    <w:lvl w:ilvl="4" w:tplc="3CE2330C">
      <w:start w:val="1"/>
      <w:numFmt w:val="decimal"/>
      <w:lvlText w:val="%5."/>
      <w:lvlJc w:val="left"/>
      <w:pPr>
        <w:ind w:left="1020" w:hanging="360"/>
      </w:pPr>
    </w:lvl>
    <w:lvl w:ilvl="5" w:tplc="AD5AE042">
      <w:start w:val="1"/>
      <w:numFmt w:val="decimal"/>
      <w:lvlText w:val="%6."/>
      <w:lvlJc w:val="left"/>
      <w:pPr>
        <w:ind w:left="1020" w:hanging="360"/>
      </w:pPr>
    </w:lvl>
    <w:lvl w:ilvl="6" w:tplc="092E6BF4">
      <w:start w:val="1"/>
      <w:numFmt w:val="decimal"/>
      <w:lvlText w:val="%7."/>
      <w:lvlJc w:val="left"/>
      <w:pPr>
        <w:ind w:left="1020" w:hanging="360"/>
      </w:pPr>
    </w:lvl>
    <w:lvl w:ilvl="7" w:tplc="11D6C05C">
      <w:start w:val="1"/>
      <w:numFmt w:val="decimal"/>
      <w:lvlText w:val="%8."/>
      <w:lvlJc w:val="left"/>
      <w:pPr>
        <w:ind w:left="1020" w:hanging="360"/>
      </w:pPr>
    </w:lvl>
    <w:lvl w:ilvl="8" w:tplc="3F78627A">
      <w:start w:val="1"/>
      <w:numFmt w:val="decimal"/>
      <w:lvlText w:val="%9."/>
      <w:lvlJc w:val="left"/>
      <w:pPr>
        <w:ind w:left="1020" w:hanging="360"/>
      </w:pPr>
    </w:lvl>
  </w:abstractNum>
  <w:abstractNum w:abstractNumId="14">
    <w:nsid w:val="0000000E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0000010"/>
    <w:multiLevelType w:val="hybridMultilevel"/>
    <w:tmpl w:val="C140649E"/>
    <w:lvl w:ilvl="0" w:tplc="D3060742">
      <w:start w:val="1"/>
      <w:numFmt w:val="bullet"/>
      <w:lvlText w:val="-"/>
      <w:lvlJc w:val="left"/>
      <w:pPr>
        <w:ind w:left="612" w:hanging="360"/>
      </w:pPr>
      <w:rPr>
        <w:rFonts w:ascii="Arial" w:cs="Arial" w:eastAsia="Calibri" w:hAnsi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412DFC2"/>
    <w:lvl w:ilvl="0" w:tplc="DE923164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cs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cs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cs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cs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6BAB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00000017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3FEF51A"/>
    <w:lvl w:ilvl="0" w:tplc="041B000F">
      <w:start w:val="1"/>
      <w:numFmt w:val="decimal"/>
      <w:lvlText w:val="%1."/>
      <w:lvlJc w:val="left"/>
      <w:pPr>
        <w:ind w:left="-409" w:hanging="360"/>
      </w:pPr>
    </w:lvl>
    <w:lvl w:ilvl="1" w:tplc="041B0019" w:tentative="1">
      <w:start w:val="1"/>
      <w:numFmt w:val="lowerLetter"/>
      <w:lvlText w:val="%2."/>
      <w:lvlJc w:val="left"/>
      <w:pPr>
        <w:ind w:left="311" w:hanging="360"/>
      </w:pPr>
    </w:lvl>
    <w:lvl w:ilvl="2" w:tplc="041B001B" w:tentative="1">
      <w:start w:val="1"/>
      <w:numFmt w:val="lowerRoman"/>
      <w:lvlText w:val="%3."/>
      <w:lvlJc w:val="right"/>
      <w:pPr>
        <w:ind w:left="1031" w:hanging="180"/>
      </w:pPr>
    </w:lvl>
    <w:lvl w:ilvl="3" w:tplc="041B000F" w:tentative="1">
      <w:start w:val="1"/>
      <w:numFmt w:val="decimal"/>
      <w:lvlText w:val="%4."/>
      <w:lvlJc w:val="left"/>
      <w:pPr>
        <w:ind w:left="1751" w:hanging="360"/>
      </w:pPr>
    </w:lvl>
    <w:lvl w:ilvl="4" w:tplc="041B0019" w:tentative="1">
      <w:start w:val="1"/>
      <w:numFmt w:val="lowerLetter"/>
      <w:lvlText w:val="%5."/>
      <w:lvlJc w:val="left"/>
      <w:pPr>
        <w:ind w:left="2471" w:hanging="360"/>
      </w:pPr>
    </w:lvl>
    <w:lvl w:ilvl="5" w:tplc="041B001B" w:tentative="1">
      <w:start w:val="1"/>
      <w:numFmt w:val="lowerRoman"/>
      <w:lvlText w:val="%6."/>
      <w:lvlJc w:val="right"/>
      <w:pPr>
        <w:ind w:left="3191" w:hanging="180"/>
      </w:pPr>
    </w:lvl>
    <w:lvl w:ilvl="6" w:tplc="041B000F" w:tentative="1">
      <w:start w:val="1"/>
      <w:numFmt w:val="decimal"/>
      <w:lvlText w:val="%7."/>
      <w:lvlJc w:val="left"/>
      <w:pPr>
        <w:ind w:left="3911" w:hanging="360"/>
      </w:pPr>
    </w:lvl>
    <w:lvl w:ilvl="7" w:tplc="041B0019" w:tentative="1">
      <w:start w:val="1"/>
      <w:numFmt w:val="lowerLetter"/>
      <w:lvlText w:val="%8."/>
      <w:lvlJc w:val="left"/>
      <w:pPr>
        <w:ind w:left="4631" w:hanging="360"/>
      </w:pPr>
    </w:lvl>
    <w:lvl w:ilvl="8" w:tplc="041B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25">
    <w:nsid w:val="00000019"/>
    <w:multiLevelType w:val="hybridMultilevel"/>
    <w:tmpl w:val="15B89D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fals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0000001C"/>
    <w:multiLevelType w:val="hybridMultilevel"/>
    <w:tmpl w:val="1834FF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AF642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cs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Arial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>
    <w:nsid w:val="00000026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multilevel"/>
    <w:tmpl w:val="2408A850"/>
    <w:lvl w:ilvl="0">
      <w:start w:val="1"/>
      <w:numFmt w:val="decimal"/>
      <w:pStyle w:val="style2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00000028"/>
    <w:multiLevelType w:val="hybridMultilevel"/>
    <w:tmpl w:val="1C5E8420"/>
    <w:lvl w:ilvl="0" w:tplc="3B9664E6">
      <w:start w:val="1"/>
      <w:numFmt w:val="decimal"/>
      <w:lvlText w:val="%1."/>
      <w:lvlJc w:val="left"/>
      <w:pPr>
        <w:ind w:left="1020" w:hanging="360"/>
      </w:pPr>
    </w:lvl>
    <w:lvl w:ilvl="1" w:tplc="37A4D57A">
      <w:start w:val="1"/>
      <w:numFmt w:val="decimal"/>
      <w:lvlText w:val="%2."/>
      <w:lvlJc w:val="left"/>
      <w:pPr>
        <w:ind w:left="1020" w:hanging="360"/>
      </w:pPr>
    </w:lvl>
    <w:lvl w:ilvl="2" w:tplc="2130BA56">
      <w:start w:val="1"/>
      <w:numFmt w:val="decimal"/>
      <w:lvlText w:val="%3."/>
      <w:lvlJc w:val="left"/>
      <w:pPr>
        <w:ind w:left="1020" w:hanging="360"/>
      </w:pPr>
    </w:lvl>
    <w:lvl w:ilvl="3" w:tplc="0B90D832">
      <w:start w:val="1"/>
      <w:numFmt w:val="decimal"/>
      <w:lvlText w:val="%4."/>
      <w:lvlJc w:val="left"/>
      <w:pPr>
        <w:ind w:left="1020" w:hanging="360"/>
      </w:pPr>
    </w:lvl>
    <w:lvl w:ilvl="4" w:tplc="AC863B58">
      <w:start w:val="1"/>
      <w:numFmt w:val="decimal"/>
      <w:lvlText w:val="%5."/>
      <w:lvlJc w:val="left"/>
      <w:pPr>
        <w:ind w:left="1020" w:hanging="360"/>
      </w:pPr>
    </w:lvl>
    <w:lvl w:ilvl="5" w:tplc="146E0FF2">
      <w:start w:val="1"/>
      <w:numFmt w:val="decimal"/>
      <w:lvlText w:val="%6."/>
      <w:lvlJc w:val="left"/>
      <w:pPr>
        <w:ind w:left="1020" w:hanging="360"/>
      </w:pPr>
    </w:lvl>
    <w:lvl w:ilvl="6" w:tplc="2CF64550">
      <w:start w:val="1"/>
      <w:numFmt w:val="decimal"/>
      <w:lvlText w:val="%7."/>
      <w:lvlJc w:val="left"/>
      <w:pPr>
        <w:ind w:left="1020" w:hanging="360"/>
      </w:pPr>
    </w:lvl>
    <w:lvl w:ilvl="7" w:tplc="6AE663F4">
      <w:start w:val="1"/>
      <w:numFmt w:val="decimal"/>
      <w:lvlText w:val="%8."/>
      <w:lvlJc w:val="left"/>
      <w:pPr>
        <w:ind w:left="1020" w:hanging="360"/>
      </w:pPr>
    </w:lvl>
    <w:lvl w:ilvl="8" w:tplc="1056F814">
      <w:start w:val="1"/>
      <w:numFmt w:val="decimal"/>
      <w:lvlText w:val="%9."/>
      <w:lvlJc w:val="left"/>
      <w:pPr>
        <w:ind w:left="1020" w:hanging="360"/>
      </w:pPr>
    </w:lvl>
  </w:abstractNum>
  <w:abstractNum w:abstractNumId="41">
    <w:nsid w:val="00000029"/>
    <w:multiLevelType w:val="hybridMultilevel"/>
    <w:tmpl w:val="9DCAD5B2"/>
    <w:lvl w:ilvl="0" w:tplc="C408FD5C">
      <w:start w:val="1"/>
      <w:numFmt w:val="decimal"/>
      <w:lvlText w:val="%1."/>
      <w:lvlJc w:val="left"/>
      <w:pPr>
        <w:ind w:left="1020" w:hanging="360"/>
      </w:pPr>
    </w:lvl>
    <w:lvl w:ilvl="1" w:tplc="7C868386">
      <w:start w:val="1"/>
      <w:numFmt w:val="decimal"/>
      <w:lvlText w:val="%2."/>
      <w:lvlJc w:val="left"/>
      <w:pPr>
        <w:ind w:left="1020" w:hanging="360"/>
      </w:pPr>
    </w:lvl>
    <w:lvl w:ilvl="2" w:tplc="2CB45D86">
      <w:start w:val="1"/>
      <w:numFmt w:val="decimal"/>
      <w:lvlText w:val="%3."/>
      <w:lvlJc w:val="left"/>
      <w:pPr>
        <w:ind w:left="1020" w:hanging="360"/>
      </w:pPr>
    </w:lvl>
    <w:lvl w:ilvl="3" w:tplc="78D4F80C">
      <w:start w:val="1"/>
      <w:numFmt w:val="decimal"/>
      <w:lvlText w:val="%4."/>
      <w:lvlJc w:val="left"/>
      <w:pPr>
        <w:ind w:left="1020" w:hanging="360"/>
      </w:pPr>
    </w:lvl>
    <w:lvl w:ilvl="4" w:tplc="760C4D52">
      <w:start w:val="1"/>
      <w:numFmt w:val="decimal"/>
      <w:lvlText w:val="%5."/>
      <w:lvlJc w:val="left"/>
      <w:pPr>
        <w:ind w:left="1020" w:hanging="360"/>
      </w:pPr>
    </w:lvl>
    <w:lvl w:ilvl="5" w:tplc="C17EA4F0">
      <w:start w:val="1"/>
      <w:numFmt w:val="decimal"/>
      <w:lvlText w:val="%6."/>
      <w:lvlJc w:val="left"/>
      <w:pPr>
        <w:ind w:left="1020" w:hanging="360"/>
      </w:pPr>
    </w:lvl>
    <w:lvl w:ilvl="6" w:tplc="379E06B6">
      <w:start w:val="1"/>
      <w:numFmt w:val="decimal"/>
      <w:lvlText w:val="%7."/>
      <w:lvlJc w:val="left"/>
      <w:pPr>
        <w:ind w:left="1020" w:hanging="360"/>
      </w:pPr>
    </w:lvl>
    <w:lvl w:ilvl="7" w:tplc="DCB4A3FC">
      <w:start w:val="1"/>
      <w:numFmt w:val="decimal"/>
      <w:lvlText w:val="%8."/>
      <w:lvlJc w:val="left"/>
      <w:pPr>
        <w:ind w:left="1020" w:hanging="360"/>
      </w:pPr>
    </w:lvl>
    <w:lvl w:ilvl="8" w:tplc="6CEADACE">
      <w:start w:val="1"/>
      <w:numFmt w:val="decimal"/>
      <w:lvlText w:val="%9."/>
      <w:lvlJc w:val="left"/>
      <w:pPr>
        <w:ind w:left="1020" w:hanging="360"/>
      </w:pPr>
    </w:lvl>
  </w:abstractNum>
  <w:abstractNum w:abstractNumId="42">
    <w:nsid w:val="0000002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11"/>
  </w:num>
  <w:num w:numId="4">
    <w:abstractNumId w:val="36"/>
  </w:num>
  <w:num w:numId="5">
    <w:abstractNumId w:val="16"/>
  </w:num>
  <w:num w:numId="6">
    <w:abstractNumId w:val="20"/>
  </w:num>
  <w:num w:numId="7">
    <w:abstractNumId w:val="0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12"/>
  </w:num>
  <w:num w:numId="13">
    <w:abstractNumId w:val="29"/>
  </w:num>
  <w:num w:numId="14">
    <w:abstractNumId w:val="30"/>
  </w:num>
  <w:num w:numId="15">
    <w:abstractNumId w:val="9"/>
  </w:num>
  <w:num w:numId="16">
    <w:abstractNumId w:val="42"/>
  </w:num>
  <w:num w:numId="17">
    <w:abstractNumId w:val="4"/>
  </w:num>
  <w:num w:numId="18">
    <w:abstractNumId w:val="35"/>
  </w:num>
  <w:num w:numId="19">
    <w:abstractNumId w:val="34"/>
  </w:num>
  <w:num w:numId="20">
    <w:abstractNumId w:val="26"/>
  </w:num>
  <w:num w:numId="21">
    <w:abstractNumId w:val="18"/>
  </w:num>
  <w:num w:numId="22">
    <w:abstractNumId w:val="17"/>
  </w:num>
  <w:num w:numId="23">
    <w:abstractNumId w:val="8"/>
  </w:num>
  <w:num w:numId="24">
    <w:abstractNumId w:val="14"/>
  </w:num>
  <w:num w:numId="25">
    <w:abstractNumId w:val="19"/>
  </w:num>
  <w:num w:numId="26">
    <w:abstractNumId w:val="43"/>
  </w:num>
  <w:num w:numId="27">
    <w:abstractNumId w:val="6"/>
  </w:num>
  <w:num w:numId="28">
    <w:abstractNumId w:val="3"/>
  </w:num>
  <w:num w:numId="29">
    <w:abstractNumId w:val="10"/>
  </w:num>
  <w:num w:numId="30">
    <w:abstractNumId w:val="32"/>
  </w:num>
  <w:num w:numId="31">
    <w:abstractNumId w:val="33"/>
  </w:num>
  <w:num w:numId="32">
    <w:abstractNumId w:val="5"/>
  </w:num>
  <w:num w:numId="33">
    <w:abstractNumId w:val="37"/>
  </w:num>
  <w:num w:numId="34">
    <w:abstractNumId w:val="22"/>
  </w:num>
  <w:num w:numId="35">
    <w:abstractNumId w:val="38"/>
  </w:num>
  <w:num w:numId="36">
    <w:abstractNumId w:val="23"/>
  </w:num>
  <w:num w:numId="37">
    <w:abstractNumId w:val="15"/>
  </w:num>
  <w:num w:numId="38">
    <w:abstractNumId w:val="25"/>
  </w:num>
  <w:num w:numId="39">
    <w:abstractNumId w:val="7"/>
  </w:num>
  <w:num w:numId="40">
    <w:abstractNumId w:val="31"/>
  </w:num>
  <w:num w:numId="41">
    <w:abstractNumId w:val="21"/>
  </w:num>
  <w:num w:numId="42">
    <w:abstractNumId w:val="24"/>
  </w:num>
  <w:num w:numId="43">
    <w:abstractNumId w:val="28"/>
  </w:num>
  <w:num w:numId="44">
    <w:abstractNumId w:val="27"/>
  </w:num>
  <w:num w:numId="45">
    <w:abstractNumId w:val="13"/>
  </w:num>
  <w:num w:numId="46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9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sk-SK" w:bidi="ar-SA" w:eastAsia="sk-SK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2"/>
    </w:rPr>
  </w:style>
  <w:style w:type="paragraph" w:styleId="style1">
    <w:name w:val="heading 1"/>
    <w:basedOn w:val="style0"/>
    <w:next w:val="style0"/>
    <w:link w:val="style4125"/>
    <w:qFormat/>
    <w:pPr>
      <w:spacing w:after="120" w:lineRule="auto" w:line="276"/>
      <w:jc w:val="center"/>
      <w:outlineLvl w:val="0"/>
    </w:pPr>
    <w:rPr>
      <w:rFonts w:ascii="Calibri Light" w:cs="Calibri Light" w:hAnsi="Calibri Light"/>
      <w:bCs/>
      <w:color w:val="0000ff"/>
      <w:sz w:val="40"/>
      <w:szCs w:val="40"/>
    </w:rPr>
  </w:style>
  <w:style w:type="paragraph" w:styleId="style2">
    <w:name w:val="heading 2"/>
    <w:basedOn w:val="style0"/>
    <w:next w:val="style0"/>
    <w:link w:val="style4114"/>
    <w:qFormat/>
    <w:uiPriority w:val="9"/>
    <w:pPr>
      <w:keepNext/>
      <w:keepLines/>
      <w:numPr>
        <w:ilvl w:val="0"/>
        <w:numId w:val="1"/>
      </w:numPr>
      <w:spacing w:before="160" w:after="160"/>
      <w:ind w:left="0" w:hanging="567"/>
      <w:jc w:val="both"/>
      <w:outlineLvl w:val="1"/>
    </w:pPr>
    <w:rPr>
      <w:rFonts w:ascii="Calibri Light" w:hAnsi="Calibri Light"/>
      <w:bCs/>
      <w:color w:val="0000cc"/>
      <w:sz w:val="32"/>
    </w:rPr>
  </w:style>
  <w:style w:type="paragraph" w:styleId="style3">
    <w:name w:val="heading 3"/>
    <w:basedOn w:val="style0"/>
    <w:next w:val="style0"/>
    <w:qFormat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  <w:lang w:eastAsia="cs-CZ"/>
    </w:rPr>
  </w:style>
  <w:style w:type="paragraph" w:styleId="style5">
    <w:name w:val="heading 5"/>
    <w:basedOn w:val="style0"/>
    <w:next w:val="style0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style6">
    <w:name w:val="heading 6"/>
    <w:basedOn w:val="style0"/>
    <w:next w:val="style0"/>
    <w:qFormat/>
    <w:pPr>
      <w:keepNext/>
      <w:jc w:val="both"/>
      <w:outlineLvl w:val="5"/>
    </w:pPr>
    <w:rPr>
      <w:b/>
      <w:bCs/>
    </w:rPr>
  </w:style>
  <w:style w:type="paragraph" w:styleId="style7">
    <w:name w:val="heading 7"/>
    <w:basedOn w:val="style0"/>
    <w:next w:val="style0"/>
    <w:link w:val="style4115"/>
    <w:qFormat/>
    <w:pPr>
      <w:keepNext/>
      <w:spacing w:lineRule="auto" w:line="360"/>
      <w:jc w:val="both"/>
      <w:outlineLvl w:val="6"/>
    </w:pPr>
    <w:rPr>
      <w:b/>
      <w:bCs/>
      <w:u w:val="single"/>
    </w:rPr>
  </w:style>
  <w:style w:type="paragraph" w:styleId="style8">
    <w:name w:val="heading 8"/>
    <w:basedOn w:val="style0"/>
    <w:next w:val="style0"/>
    <w:qFormat/>
    <w:pPr>
      <w:keepNext/>
      <w:ind w:firstLine="708"/>
      <w:jc w:val="both"/>
      <w:outlineLvl w:val="7"/>
    </w:pPr>
    <w:rPr>
      <w:u w:val="single"/>
    </w:rPr>
  </w:style>
  <w:style w:type="paragraph" w:styleId="style9">
    <w:name w:val="heading 9"/>
    <w:basedOn w:val="style0"/>
    <w:next w:val="style0"/>
    <w:qFormat/>
    <w:pPr>
      <w:keepNext/>
      <w:outlineLvl w:val="8"/>
    </w:pPr>
    <w:rPr>
      <w:b/>
      <w:bCs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03">
    <w:name w:val="HTML Typewriter"/>
    <w:next w:val="style103"/>
    <w:rPr>
      <w:rFonts w:ascii="Courier New" w:cs="Courier New" w:eastAsia="Times New Roman" w:hAnsi="Courier New" w:hint="default"/>
      <w:sz w:val="20"/>
      <w:szCs w:val="20"/>
    </w:rPr>
  </w:style>
  <w:style w:type="paragraph" w:styleId="style31">
    <w:name w:val="header"/>
    <w:basedOn w:val="style0"/>
    <w:next w:val="style31"/>
    <w:link w:val="style4124"/>
    <w:uiPriority w:val="99"/>
    <w:pPr>
      <w:tabs>
        <w:tab w:val="center" w:leader="none" w:pos="4536"/>
        <w:tab w:val="right" w:leader="none" w:pos="9072"/>
      </w:tabs>
    </w:pPr>
    <w:rPr/>
  </w:style>
  <w:style w:type="paragraph" w:styleId="style66">
    <w:name w:val="Body Text"/>
    <w:basedOn w:val="style0"/>
    <w:next w:val="style66"/>
    <w:link w:val="style4098"/>
    <w:pPr>
      <w:jc w:val="both"/>
    </w:pPr>
    <w:rPr>
      <w:b/>
      <w:bCs/>
    </w:rPr>
  </w:style>
  <w:style w:type="paragraph" w:styleId="style67">
    <w:name w:val="Body Text Indent"/>
    <w:basedOn w:val="style0"/>
    <w:next w:val="style67"/>
    <w:link w:val="style4099"/>
    <w:uiPriority w:val="99"/>
    <w:pPr>
      <w:jc w:val="both"/>
    </w:pPr>
    <w:rPr/>
  </w:style>
  <w:style w:type="paragraph" w:styleId="style81">
    <w:name w:val="Body Text 3"/>
    <w:basedOn w:val="style0"/>
    <w:next w:val="style81"/>
    <w:link w:val="style4106"/>
    <w:pPr>
      <w:jc w:val="center"/>
    </w:pPr>
    <w:rPr>
      <w:color w:val="ff0000"/>
      <w:sz w:val="20"/>
      <w:szCs w:val="20"/>
    </w:rPr>
  </w:style>
  <w:style w:type="paragraph" w:styleId="style82">
    <w:name w:val="Body Text Indent 2"/>
    <w:basedOn w:val="style0"/>
    <w:next w:val="style82"/>
    <w:link w:val="style4100"/>
    <w:pPr>
      <w:ind w:left="360"/>
      <w:jc w:val="both"/>
    </w:pPr>
    <w:rPr/>
  </w:style>
  <w:style w:type="paragraph" w:styleId="style83">
    <w:name w:val="Body Text Indent 3"/>
    <w:basedOn w:val="style0"/>
    <w:next w:val="style83"/>
    <w:link w:val="style4109"/>
    <w:pPr>
      <w:ind w:left="708"/>
      <w:jc w:val="both"/>
    </w:pPr>
    <w:rPr/>
  </w:style>
  <w:style w:type="paragraph" w:styleId="style32">
    <w:name w:val="footer"/>
    <w:basedOn w:val="style0"/>
    <w:next w:val="style32"/>
    <w:link w:val="style4118"/>
    <w:uiPriority w:val="99"/>
    <w:pPr>
      <w:tabs>
        <w:tab w:val="center" w:leader="none" w:pos="4536"/>
        <w:tab w:val="right" w:leader="none" w:pos="9072"/>
      </w:tabs>
    </w:pPr>
    <w:rPr/>
  </w:style>
  <w:style w:type="character" w:styleId="style41">
    <w:name w:val="page number"/>
    <w:basedOn w:val="style65"/>
    <w:next w:val="style41"/>
  </w:style>
  <w:style w:type="paragraph" w:customStyle="1" w:styleId="style4097">
    <w:name w:val="Štýl1"/>
    <w:basedOn w:val="style0"/>
    <w:next w:val="style7"/>
    <w:uiPriority w:val="99"/>
    <w:pPr/>
    <w:rPr>
      <w:sz w:val="28"/>
      <w:szCs w:val="28"/>
    </w:rPr>
  </w:style>
  <w:style w:type="paragraph" w:styleId="style84">
    <w:name w:val="Block Text"/>
    <w:basedOn w:val="style0"/>
    <w:next w:val="style84"/>
    <w:pPr>
      <w:widowControl w:val="false"/>
      <w:tabs>
        <w:tab w:val="left" w:leader="none" w:pos="2304"/>
        <w:tab w:val="left" w:leader="none" w:pos="3456"/>
        <w:tab w:val="left" w:leader="none" w:pos="4608"/>
        <w:tab w:val="left" w:leader="none" w:pos="5760"/>
        <w:tab w:val="left" w:leader="none" w:pos="6912"/>
        <w:tab w:val="left" w:leader="none" w:pos="8064"/>
      </w:tabs>
      <w:autoSpaceDE w:val="false"/>
      <w:autoSpaceDN w:val="false"/>
      <w:ind w:left="709" w:right="144" w:hanging="567"/>
      <w:jc w:val="both"/>
    </w:pPr>
    <w:rPr>
      <w:rFonts w:ascii="Arial" w:cs="Arial" w:hAnsi="Arial"/>
      <w:sz w:val="20"/>
      <w:szCs w:val="20"/>
      <w:lang w:val="en-US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90">
    <w:name w:val="Plain Text"/>
    <w:basedOn w:val="style0"/>
    <w:next w:val="style90"/>
    <w:pPr/>
    <w:rPr>
      <w:rFonts w:ascii="Courier New" w:hAnsi="Courier New"/>
      <w:sz w:val="20"/>
      <w:szCs w:val="20"/>
      <w:lang w:val="cs-CZ" w:eastAsia="cs-CZ"/>
    </w:rPr>
  </w:style>
  <w:style w:type="paragraph" w:styleId="style179">
    <w:name w:val="List Paragraph"/>
    <w:basedOn w:val="style0"/>
    <w:next w:val="style179"/>
    <w:link w:val="style4133"/>
    <w:qFormat/>
    <w:uiPriority w:val="34"/>
    <w:pPr>
      <w:ind w:left="708"/>
    </w:pPr>
    <w:rPr/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rFonts w:ascii="Arial Unicode MS" w:eastAsia="Arial Unicode MS" w:hAnsi="Arial Unicode MS"/>
      <w:color w:val="000000"/>
    </w:rPr>
  </w:style>
  <w:style w:type="character" w:customStyle="1" w:styleId="style4098">
    <w:name w:val="Základný text Char"/>
    <w:next w:val="style4098"/>
    <w:link w:val="style66"/>
    <w:rPr>
      <w:b/>
      <w:bCs/>
      <w:sz w:val="24"/>
      <w:szCs w:val="24"/>
    </w:rPr>
  </w:style>
  <w:style w:type="character" w:customStyle="1" w:styleId="style4099">
    <w:name w:val="Zarážka základného textu Char"/>
    <w:next w:val="style4099"/>
    <w:link w:val="style67"/>
    <w:uiPriority w:val="99"/>
    <w:rPr>
      <w:sz w:val="24"/>
      <w:szCs w:val="24"/>
    </w:rPr>
  </w:style>
  <w:style w:type="character" w:customStyle="1" w:styleId="style4100">
    <w:name w:val="Zarážka základného textu 2 Char"/>
    <w:next w:val="style4100"/>
    <w:link w:val="style82"/>
    <w:rPr>
      <w:sz w:val="24"/>
      <w:szCs w:val="24"/>
    </w:rPr>
  </w:style>
  <w:style w:type="character" w:customStyle="1" w:styleId="style4101">
    <w:name w:val="apple-style-span"/>
    <w:next w:val="style4101"/>
  </w:style>
  <w:style w:type="character" w:customStyle="1" w:styleId="style4102">
    <w:name w:val="apple-converted-space"/>
    <w:next w:val="style4102"/>
  </w:style>
  <w:style w:type="character" w:customStyle="1" w:styleId="style4103">
    <w:name w:val="Silný"/>
    <w:next w:val="style4103"/>
    <w:qFormat/>
    <w:rPr>
      <w:b/>
      <w:bCs/>
    </w:rPr>
  </w:style>
  <w:style w:type="paragraph" w:styleId="style153">
    <w:name w:val="Balloon Text"/>
    <w:basedOn w:val="style0"/>
    <w:next w:val="style153"/>
    <w:link w:val="style4104"/>
    <w:uiPriority w:val="99"/>
    <w:pPr/>
    <w:rPr>
      <w:rFonts w:ascii="Tahoma" w:hAnsi="Tahoma"/>
      <w:sz w:val="16"/>
      <w:szCs w:val="16"/>
    </w:rPr>
  </w:style>
  <w:style w:type="character" w:customStyle="1" w:styleId="style4104">
    <w:name w:val="Text bubliny Char"/>
    <w:next w:val="style4104"/>
    <w:link w:val="style153"/>
    <w:uiPriority w:val="99"/>
    <w:rPr>
      <w:rFonts w:ascii="Tahoma" w:cs="Tahoma" w:hAnsi="Tahoma"/>
      <w:sz w:val="16"/>
      <w:szCs w:val="16"/>
    </w:rPr>
  </w:style>
  <w:style w:type="paragraph" w:styleId="style30">
    <w:name w:val="annotation text"/>
    <w:basedOn w:val="style0"/>
    <w:next w:val="style30"/>
    <w:link w:val="style4105"/>
    <w:uiPriority w:val="99"/>
    <w:pPr>
      <w:spacing w:after="200" w:lineRule="auto" w:line="276"/>
    </w:pPr>
    <w:rPr>
      <w:rFonts w:ascii="Calibri" w:eastAsia="Calibri" w:hAnsi="Calibri"/>
      <w:sz w:val="20"/>
      <w:szCs w:val="20"/>
      <w:lang w:eastAsia="en-US"/>
    </w:rPr>
  </w:style>
  <w:style w:type="character" w:customStyle="1" w:styleId="style4105">
    <w:name w:val="Text komentára Char"/>
    <w:next w:val="style4105"/>
    <w:link w:val="style30"/>
    <w:uiPriority w:val="99"/>
    <w:rPr>
      <w:rFonts w:ascii="Calibri" w:eastAsia="Calibri" w:hAnsi="Calibri"/>
      <w:lang w:eastAsia="en-US"/>
    </w:rPr>
  </w:style>
  <w:style w:type="character" w:styleId="style39">
    <w:name w:val="annotation reference"/>
    <w:next w:val="style39"/>
    <w:uiPriority w:val="99"/>
    <w:rPr>
      <w:sz w:val="16"/>
      <w:szCs w:val="16"/>
    </w:rPr>
  </w:style>
  <w:style w:type="character" w:customStyle="1" w:styleId="style4106">
    <w:name w:val="Základný text 3 Char"/>
    <w:next w:val="style4106"/>
    <w:link w:val="style81"/>
    <w:rPr>
      <w:color w:val="ff0000"/>
    </w:rPr>
  </w:style>
  <w:style w:type="paragraph" w:styleId="style106">
    <w:name w:val="annotation subject"/>
    <w:basedOn w:val="style30"/>
    <w:next w:val="style30"/>
    <w:link w:val="style4107"/>
    <w:uiPriority w:val="99"/>
    <w:pPr>
      <w:spacing w:after="0" w:lineRule="auto" w:line="240"/>
    </w:pPr>
    <w:rPr>
      <w:b/>
      <w:bCs/>
    </w:rPr>
  </w:style>
  <w:style w:type="character" w:customStyle="1" w:styleId="style4107">
    <w:name w:val="Predmet komentára Char"/>
    <w:next w:val="style4107"/>
    <w:link w:val="style106"/>
    <w:uiPriority w:val="99"/>
    <w:rPr>
      <w:rFonts w:ascii="Calibri" w:eastAsia="Calibri" w:hAnsi="Calibri"/>
      <w:b/>
      <w:bCs/>
      <w:lang w:eastAsia="en-US"/>
    </w:rPr>
  </w:style>
  <w:style w:type="paragraph" w:customStyle="1" w:styleId="style4108">
    <w:name w:val="Text"/>
    <w:basedOn w:val="style0"/>
    <w:next w:val="style4108"/>
    <w:pPr>
      <w:spacing w:before="120" w:lineRule="exact" w:line="300"/>
      <w:jc w:val="both"/>
    </w:pPr>
    <w:rPr>
      <w:rFonts w:ascii="Arial" w:hAnsi="Arial"/>
      <w:sz w:val="20"/>
      <w:szCs w:val="20"/>
      <w:lang w:eastAsia="cs-CZ"/>
    </w:rPr>
  </w:style>
  <w:style w:type="character" w:customStyle="1" w:styleId="style4109">
    <w:name w:val="Zarážka základného textu 3 Char"/>
    <w:next w:val="style4109"/>
    <w:link w:val="style83"/>
    <w:rPr>
      <w:sz w:val="24"/>
      <w:szCs w:val="24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10">
    <w:name w:val="Základný text (2)_"/>
    <w:next w:val="style4110"/>
    <w:link w:val="style4112"/>
    <w:rPr>
      <w:rFonts w:ascii="Bookman Old Style" w:cs="Bookman Old Style" w:eastAsia="Bookman Old Style" w:hAnsi="Bookman Old Style"/>
      <w:sz w:val="19"/>
      <w:szCs w:val="19"/>
      <w:shd w:val="clear" w:color="auto" w:fill="ffffff"/>
    </w:rPr>
  </w:style>
  <w:style w:type="character" w:customStyle="1" w:styleId="style4111">
    <w:name w:val="Základný text (2)"/>
    <w:next w:val="style4111"/>
    <w:rPr>
      <w:rFonts w:ascii="Bookman Old Style" w:cs="Bookman Old Style" w:eastAsia="Bookman Old Style" w:hAnsi="Bookman Old Style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19"/>
      <w:szCs w:val="19"/>
      <w:u w:val="none"/>
      <w:lang w:val="sk-SK" w:bidi="sk-SK" w:eastAsia="sk-SK"/>
    </w:rPr>
  </w:style>
  <w:style w:type="paragraph" w:customStyle="1" w:styleId="style4112">
    <w:name w:val="Základný text (2)1"/>
    <w:basedOn w:val="style0"/>
    <w:next w:val="style4112"/>
    <w:link w:val="style4110"/>
    <w:pPr>
      <w:widowControl w:val="false"/>
      <w:shd w:val="clear" w:color="auto" w:fill="ffffff"/>
      <w:spacing w:after="360" w:lineRule="exact" w:line="221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style4113">
    <w:name w:val="Mriežka tabuľky1"/>
    <w:basedOn w:val="style105"/>
    <w:next w:val="style154"/>
    <w:uiPriority w:val="59"/>
    <w:pPr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14">
    <w:name w:val="Nadpis 2 Char"/>
    <w:next w:val="style4114"/>
    <w:link w:val="style2"/>
    <w:uiPriority w:val="9"/>
    <w:rPr>
      <w:rFonts w:ascii="Calibri Light" w:hAnsi="Calibri Light"/>
      <w:bCs/>
      <w:color w:val="0000cc"/>
      <w:sz w:val="32"/>
      <w:szCs w:val="22"/>
    </w:rPr>
  </w:style>
  <w:style w:type="character" w:customStyle="1" w:styleId="style4115">
    <w:name w:val="Nadpis 7 Char"/>
    <w:next w:val="style4115"/>
    <w:link w:val="style7"/>
    <w:rPr>
      <w:b/>
      <w:bCs/>
      <w:sz w:val="24"/>
      <w:szCs w:val="24"/>
      <w:u w:val="single"/>
    </w:rPr>
  </w:style>
  <w:style w:type="paragraph" w:customStyle="1" w:styleId="style4116">
    <w:name w:val="Default"/>
    <w:next w:val="style4116"/>
    <w:pPr>
      <w:autoSpaceDE w:val="false"/>
      <w:autoSpaceDN w:val="false"/>
      <w:adjustRightInd w:val="false"/>
    </w:pPr>
    <w:rPr>
      <w:rFonts w:ascii="Arial" w:cs="Arial" w:hAnsi="Arial"/>
      <w:color w:val="000000"/>
      <w:sz w:val="24"/>
      <w:szCs w:val="24"/>
    </w:rPr>
  </w:style>
  <w:style w:type="paragraph" w:customStyle="1" w:styleId="style4117">
    <w:name w:val="tlarial10ptpodaokrajavavo075cmpred6pt"/>
    <w:basedOn w:val="style0"/>
    <w:next w:val="style4117"/>
    <w:pPr>
      <w:spacing w:before="100" w:beforeAutospacing="true" w:after="100" w:afterAutospacing="true"/>
    </w:pPr>
    <w:rPr/>
  </w:style>
  <w:style w:type="character" w:customStyle="1" w:styleId="style4118">
    <w:name w:val="Päta Char"/>
    <w:next w:val="style4118"/>
    <w:link w:val="style32"/>
    <w:uiPriority w:val="99"/>
    <w:rPr>
      <w:sz w:val="24"/>
      <w:szCs w:val="24"/>
    </w:rPr>
  </w:style>
  <w:style w:type="paragraph" w:styleId="style157">
    <w:name w:val="No Spacing"/>
    <w:next w:val="style157"/>
    <w:qFormat/>
    <w:pPr/>
    <w:rPr>
      <w:sz w:val="24"/>
      <w:szCs w:val="24"/>
    </w:rPr>
  </w:style>
  <w:style w:type="character" w:styleId="style86">
    <w:name w:val="FollowedHyperlink"/>
    <w:next w:val="style86"/>
    <w:rPr>
      <w:color w:val="800080"/>
      <w:u w:val="single"/>
    </w:rPr>
  </w:style>
  <w:style w:type="character" w:customStyle="1" w:styleId="style4119">
    <w:name w:val="eop"/>
    <w:next w:val="style4119"/>
  </w:style>
  <w:style w:type="paragraph" w:customStyle="1" w:styleId="style4120">
    <w:name w:val="paragraph"/>
    <w:basedOn w:val="style0"/>
    <w:next w:val="style4120"/>
    <w:pPr>
      <w:spacing w:before="100" w:beforeAutospacing="true" w:after="100" w:afterAutospacing="true"/>
    </w:pPr>
    <w:rPr/>
  </w:style>
  <w:style w:type="character" w:customStyle="1" w:styleId="style4121">
    <w:name w:val="normaltextrun"/>
    <w:next w:val="style4121"/>
  </w:style>
  <w:style w:type="character" w:customStyle="1" w:styleId="style4122">
    <w:name w:val="spellingerror"/>
    <w:next w:val="style4122"/>
  </w:style>
  <w:style w:type="paragraph" w:customStyle="1" w:styleId="style4123">
    <w:name w:val="odstavec_a2"/>
    <w:basedOn w:val="style0"/>
    <w:next w:val="style4123"/>
    <w:pPr>
      <w:spacing w:after="240" w:lineRule="auto" w:line="312"/>
      <w:jc w:val="both"/>
    </w:pPr>
    <w:rPr>
      <w:noProof/>
      <w:color w:val="333333"/>
      <w:sz w:val="20"/>
      <w:szCs w:val="20"/>
    </w:rPr>
  </w:style>
  <w:style w:type="character" w:customStyle="1" w:styleId="style4124">
    <w:name w:val="Hlavička Char"/>
    <w:next w:val="style4124"/>
    <w:link w:val="style31"/>
    <w:uiPriority w:val="99"/>
    <w:rPr>
      <w:sz w:val="24"/>
      <w:szCs w:val="24"/>
    </w:rPr>
  </w:style>
  <w:style w:type="character" w:customStyle="1" w:styleId="style4125">
    <w:name w:val="Nadpis 1 Char"/>
    <w:next w:val="style4125"/>
    <w:link w:val="style1"/>
    <w:rPr>
      <w:rFonts w:ascii="Calibri Light" w:cs="Calibri Light" w:hAnsi="Calibri Light"/>
      <w:bCs/>
      <w:color w:val="0000ff"/>
      <w:sz w:val="40"/>
      <w:szCs w:val="40"/>
    </w:rPr>
  </w:style>
  <w:style w:type="paragraph" w:styleId="style266">
    <w:name w:val="TOC Heading"/>
    <w:basedOn w:val="style1"/>
    <w:next w:val="style0"/>
    <w:qFormat/>
    <w:uiPriority w:val="39"/>
    <w:pPr>
      <w:keepLines/>
      <w:spacing w:before="240" w:after="240" w:lineRule="auto" w:line="259"/>
      <w:jc w:val="left"/>
      <w:outlineLvl w:val="9"/>
    </w:pPr>
    <w:rPr>
      <w:b/>
      <w:bCs w:val="false"/>
      <w:color w:val="365f91"/>
      <w:sz w:val="32"/>
      <w:szCs w:val="32"/>
    </w:rPr>
  </w:style>
  <w:style w:type="paragraph" w:styleId="style20">
    <w:name w:val="toc 2"/>
    <w:next w:val="style0"/>
    <w:uiPriority w:val="39"/>
    <w:pPr>
      <w:tabs>
        <w:tab w:val="left" w:leader="none" w:pos="709"/>
        <w:tab w:val="right" w:leader="dot" w:pos="9344"/>
      </w:tabs>
      <w:spacing w:after="100" w:lineRule="auto" w:line="276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style4126">
    <w:name w:val="Základný text_"/>
    <w:next w:val="style4126"/>
    <w:link w:val="style4127"/>
    <w:rPr>
      <w:shd w:val="clear" w:color="auto" w:fill="ffffff"/>
    </w:rPr>
  </w:style>
  <w:style w:type="paragraph" w:customStyle="1" w:styleId="style4127">
    <w:name w:val="Základný text2"/>
    <w:basedOn w:val="style0"/>
    <w:next w:val="style4127"/>
    <w:link w:val="style4126"/>
    <w:pPr>
      <w:widowControl w:val="false"/>
      <w:shd w:val="clear" w:color="auto" w:fill="ffffff"/>
      <w:spacing w:before="240" w:after="240" w:lineRule="exact" w:line="278"/>
      <w:ind w:hanging="840"/>
      <w:jc w:val="center"/>
    </w:pPr>
    <w:rPr>
      <w:sz w:val="20"/>
      <w:szCs w:val="20"/>
    </w:rPr>
  </w:style>
  <w:style w:type="paragraph" w:styleId="style178">
    <w:name w:val="Revision"/>
    <w:next w:val="style178"/>
    <w:uiPriority w:val="99"/>
    <w:pPr/>
    <w:rPr>
      <w:sz w:val="24"/>
      <w:szCs w:val="24"/>
    </w:rPr>
  </w:style>
  <w:style w:type="character" w:customStyle="1" w:styleId="style4128">
    <w:name w:val="highlight"/>
    <w:basedOn w:val="style65"/>
    <w:next w:val="style4128"/>
  </w:style>
  <w:style w:type="paragraph" w:customStyle="1" w:styleId="style4129">
    <w:name w:val="Základný text 31"/>
    <w:basedOn w:val="style0"/>
    <w:next w:val="style4129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style4130">
    <w:name w:val="Bullets level 1"/>
    <w:basedOn w:val="style0"/>
    <w:next w:val="style4130"/>
    <w:link w:val="style4131"/>
    <w:qFormat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style4131">
    <w:name w:val="Bullets level 1 Char"/>
    <w:next w:val="style4131"/>
    <w:link w:val="style4130"/>
    <w:rPr>
      <w:rFonts w:ascii="Arial" w:hAnsi="Arial"/>
      <w:color w:val="000000"/>
      <w:sz w:val="19"/>
      <w:lang w:val="en-GB" w:eastAsia="en-US"/>
    </w:rPr>
  </w:style>
  <w:style w:type="character" w:customStyle="1" w:styleId="style4132">
    <w:name w:val="Unresolved Mention"/>
    <w:next w:val="style4132"/>
    <w:uiPriority w:val="99"/>
    <w:rPr>
      <w:color w:val="605e5c"/>
      <w:shd w:val="clear" w:color="auto" w:fill="e1dfdd"/>
    </w:rPr>
  </w:style>
  <w:style w:type="paragraph" w:styleId="style19">
    <w:name w:val="toc 1"/>
    <w:basedOn w:val="style0"/>
    <w:next w:val="style0"/>
    <w:uiPriority w:val="39"/>
    <w:pPr/>
  </w:style>
  <w:style w:type="character" w:customStyle="1" w:styleId="style4133">
    <w:name w:val="Odsek zoznamu Char"/>
    <w:basedOn w:val="style65"/>
    <w:next w:val="style4133"/>
    <w:link w:val="style179"/>
    <w:uiPriority w:val="34"/>
    <w:rPr>
      <w:sz w:val="24"/>
      <w:szCs w:val="22"/>
    </w:rPr>
  </w:style>
  <w:style w:type="character" w:customStyle="1" w:styleId="style4134">
    <w:name w:val="Char Style 20"/>
    <w:basedOn w:val="style65"/>
    <w:next w:val="style4134"/>
    <w:uiPriority w:val="99"/>
    <w:rPr>
      <w:sz w:val="21"/>
      <w:szCs w:val="21"/>
      <w:shd w:val="clear" w:color="auto" w:fill="ffffff"/>
    </w:rPr>
  </w:style>
  <w:style w:type="paragraph" w:styleId="style29">
    <w:name w:val="footnote text"/>
    <w:basedOn w:val="style0"/>
    <w:next w:val="style29"/>
    <w:link w:val="style4135"/>
    <w:pPr/>
    <w:rPr>
      <w:sz w:val="20"/>
      <w:szCs w:val="20"/>
    </w:rPr>
  </w:style>
  <w:style w:type="character" w:customStyle="1" w:styleId="style4135">
    <w:name w:val="Text poznámky pod čiarou Char"/>
    <w:basedOn w:val="style65"/>
    <w:next w:val="style4135"/>
    <w:link w:val="style29"/>
  </w:style>
  <w:style w:type="character" w:styleId="style38">
    <w:name w:val="footnote reference"/>
    <w:basedOn w:val="style65"/>
    <w:next w:val="style38"/>
    <w:rPr>
      <w:vertAlign w:val="superscript"/>
    </w:rPr>
  </w:style>
  <w:style w:type="character" w:customStyle="1" w:styleId="style4136">
    <w:name w:val="Mention"/>
    <w:basedOn w:val="style65"/>
    <w:next w:val="style4136"/>
    <w:uiPriority w:val="99"/>
    <w:rPr>
      <w:color w:val="2b579a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footnotes" Target="footnotes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microsoft.com/office/2011/relationships/commentsExtended" Target="commentsExtended.xml"/><Relationship Id="rId3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header" Target="header5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18" Type="http://schemas.openxmlformats.org/officeDocument/2006/relationships/customXml" Target="../customXml/item4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30cae-ca95-4e4c-b712-4a00357d6547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f239f415-a005-4f12-9588-9440834db605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a2d3d038-eacf-4f98-a15c-cb8ea8c133c4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33</TotalTime>
  <Words>1188</Words>
  <Pages>5</Pages>
  <Characters>7717</Characters>
  <Application>WPS Office</Application>
  <DocSecurity>0</DocSecurity>
  <Paragraphs>149</Paragraphs>
  <ScaleCrop>false</ScaleCrop>
  <LinksUpToDate>false</LinksUpToDate>
  <CharactersWithSpaces>8818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2025-07-30T06:17:00Z</dcterms:created>
  <dc:creator>Pudiš Ivan, Mgr</dc:creator>
  <lastModifiedBy>TB311XU</lastModifiedBy>
  <lastPrinted>2024-07-31T11:41:00Z</lastPrinted>
  <dcterms:modified xsi:type="dcterms:W3CDTF">2025-09-18T17:49:41Z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c362cd1d298a4de7b3e1a05cb8b709af</vt:lpwstr>
  </property>
</Properties>
</file>