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2492" w14:textId="45E54D50" w:rsidR="00942AD2" w:rsidRPr="00942AD2" w:rsidRDefault="00942AD2" w:rsidP="00942AD2">
      <w:pPr>
        <w:spacing w:after="0" w:line="240" w:lineRule="auto"/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</w:pPr>
      <w:r w:rsidRPr="00942AD2">
        <w:rPr>
          <w:rFonts w:ascii="Arial" w:eastAsia="Times New Roman" w:hAnsi="Arial" w:cs="Arial"/>
          <w:sz w:val="20"/>
          <w:szCs w:val="20"/>
          <w:lang w:eastAsia="cs-CZ"/>
        </w:rPr>
        <w:t>Číslo smlouvy objednatele:</w:t>
      </w:r>
      <w:r w:rsidR="00D138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DB6E2B">
        <w:rPr>
          <w:rFonts w:ascii="Arial" w:eastAsia="Times New Roman" w:hAnsi="Arial" w:cs="Arial"/>
          <w:sz w:val="20"/>
          <w:szCs w:val="20"/>
          <w:lang w:eastAsia="cs-CZ"/>
        </w:rPr>
        <w:t>xxxx</w:t>
      </w:r>
      <w:proofErr w:type="spellEnd"/>
      <w:r w:rsidR="00D13896" w:rsidRPr="00D13896">
        <w:rPr>
          <w:rFonts w:ascii="Arial" w:eastAsia="Times New Roman" w:hAnsi="Arial" w:cs="Arial"/>
          <w:sz w:val="20"/>
          <w:szCs w:val="20"/>
          <w:lang w:eastAsia="cs-CZ"/>
        </w:rPr>
        <w:t>/2025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AD2">
        <w:rPr>
          <w:rFonts w:ascii="Arial" w:eastAsia="Times New Roman" w:hAnsi="Arial" w:cs="Arial"/>
          <w:sz w:val="20"/>
          <w:szCs w:val="20"/>
          <w:lang w:eastAsia="cs-CZ"/>
        </w:rPr>
        <w:t>Číslo smlouvy zhotovitele:</w:t>
      </w:r>
      <w:r w:rsidRPr="00942AD2"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  <w:t xml:space="preserve"> </w:t>
      </w:r>
      <w:r w:rsidRPr="006C5245">
        <w:rPr>
          <w:rFonts w:ascii="Arial" w:eastAsia="Times New Roman" w:hAnsi="Arial" w:cs="Arial"/>
          <w:bCs/>
          <w:spacing w:val="30"/>
          <w:sz w:val="20"/>
          <w:szCs w:val="20"/>
          <w:highlight w:val="yellow"/>
          <w:lang w:eastAsia="cs-CZ"/>
        </w:rPr>
        <w:t>…………</w:t>
      </w:r>
      <w:proofErr w:type="gramStart"/>
      <w:r w:rsidRPr="006C5245">
        <w:rPr>
          <w:rFonts w:ascii="Arial" w:eastAsia="Times New Roman" w:hAnsi="Arial" w:cs="Arial"/>
          <w:bCs/>
          <w:spacing w:val="30"/>
          <w:sz w:val="20"/>
          <w:szCs w:val="20"/>
          <w:highlight w:val="yellow"/>
          <w:lang w:eastAsia="cs-CZ"/>
        </w:rPr>
        <w:t>…….</w:t>
      </w:r>
      <w:proofErr w:type="gramEnd"/>
      <w:r w:rsidRPr="006C5245">
        <w:rPr>
          <w:rFonts w:ascii="Arial" w:eastAsia="Times New Roman" w:hAnsi="Arial" w:cs="Arial"/>
          <w:bCs/>
          <w:spacing w:val="30"/>
          <w:sz w:val="20"/>
          <w:szCs w:val="20"/>
          <w:highlight w:val="yellow"/>
          <w:lang w:eastAsia="cs-CZ"/>
        </w:rPr>
        <w:t>.</w:t>
      </w:r>
      <w:r w:rsidRPr="00942AD2"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  <w:t xml:space="preserve"> </w:t>
      </w:r>
    </w:p>
    <w:p w14:paraId="2437684F" w14:textId="77777777" w:rsidR="00942AD2" w:rsidRDefault="00942AD2" w:rsidP="002C28FD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</w:pPr>
    </w:p>
    <w:p w14:paraId="031443A7" w14:textId="1300E3FF"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>SMLOUVA O DÍLO</w:t>
      </w:r>
    </w:p>
    <w:p w14:paraId="3B741497" w14:textId="77777777"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uzavřená níže uvedeného dne, měsíce a roku v souladu s </w:t>
      </w:r>
      <w:proofErr w:type="spellStart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eastAsia="Times New Roman" w:hAnsi="Arial" w:cs="Arial"/>
            <w:kern w:val="28"/>
            <w:sz w:val="20"/>
            <w:szCs w:val="24"/>
            <w:lang w:eastAsia="cs-CZ"/>
          </w:rPr>
          <w:t xml:space="preserve">2586 </w:t>
        </w:r>
        <w:r>
          <w:rPr>
            <w:rFonts w:ascii="Arial" w:eastAsia="Times New Roman" w:hAnsi="Arial" w:cs="Arial"/>
            <w:snapToGrid w:val="0"/>
            <w:sz w:val="20"/>
            <w:szCs w:val="24"/>
            <w:lang w:eastAsia="cs-CZ"/>
          </w:rPr>
          <w:t>a</w:t>
        </w:r>
      </w:smartTag>
      <w:r>
        <w:rPr>
          <w:rFonts w:ascii="Arial" w:eastAsia="Times New Roman" w:hAnsi="Arial" w:cs="Arial"/>
          <w:snapToGrid w:val="0"/>
          <w:sz w:val="20"/>
          <w:szCs w:val="24"/>
          <w:lang w:eastAsia="cs-CZ"/>
        </w:rPr>
        <w:t xml:space="preserve"> násl.</w:t>
      </w:r>
      <w:r>
        <w:rPr>
          <w:rFonts w:ascii="Arial" w:eastAsia="Times New Roman" w:hAnsi="Arial" w:cs="Arial"/>
          <w:snapToGrid w:val="0"/>
          <w:color w:val="FF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zákona č. 89/2012 Sb., občanský zákoník, ve znění pozdějších předpisů (dále jen „</w:t>
      </w:r>
      <w:r>
        <w:rPr>
          <w:rFonts w:ascii="Arial" w:eastAsia="Times New Roman" w:hAnsi="Arial" w:cs="Arial"/>
          <w:b/>
          <w:kern w:val="28"/>
          <w:sz w:val="20"/>
          <w:szCs w:val="24"/>
          <w:lang w:eastAsia="cs-CZ"/>
        </w:rPr>
        <w:t>občanský zákoník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“)</w:t>
      </w:r>
    </w:p>
    <w:p w14:paraId="6F46C42A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14:paraId="08E071E7" w14:textId="77777777"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Objednatel:</w:t>
      </w:r>
    </w:p>
    <w:p w14:paraId="257E5B19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Znojmo</w:t>
      </w:r>
    </w:p>
    <w:p w14:paraId="7B79A00D" w14:textId="77777777" w:rsidR="002C28FD" w:rsidRDefault="002C28FD" w:rsidP="002C28FD">
      <w:pPr>
        <w:tabs>
          <w:tab w:val="left" w:pos="1985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C03337">
        <w:rPr>
          <w:rFonts w:ascii="Arial" w:eastAsia="Times New Roman" w:hAnsi="Arial" w:cs="Arial"/>
          <w:sz w:val="20"/>
          <w:szCs w:val="20"/>
          <w:lang w:eastAsia="cs-CZ"/>
        </w:rPr>
        <w:t>Obroková</w:t>
      </w:r>
      <w:proofErr w:type="spellEnd"/>
      <w:r w:rsidR="00C03337">
        <w:rPr>
          <w:rFonts w:ascii="Arial" w:eastAsia="Times New Roman" w:hAnsi="Arial" w:cs="Arial"/>
          <w:sz w:val="20"/>
          <w:szCs w:val="20"/>
          <w:lang w:eastAsia="cs-CZ"/>
        </w:rPr>
        <w:t xml:space="preserve"> 1/12, 669 0</w:t>
      </w:r>
      <w:r>
        <w:rPr>
          <w:rFonts w:ascii="Arial" w:eastAsia="Times New Roman" w:hAnsi="Arial" w:cs="Arial"/>
          <w:sz w:val="20"/>
          <w:szCs w:val="20"/>
          <w:lang w:eastAsia="cs-CZ"/>
        </w:rPr>
        <w:t>2 Znojmo</w:t>
      </w:r>
    </w:p>
    <w:p w14:paraId="03FE07FD" w14:textId="4468EB2B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Jednající: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74FE0">
        <w:rPr>
          <w:rFonts w:ascii="Arial" w:eastAsia="Times New Roman" w:hAnsi="Arial" w:cs="Arial"/>
          <w:sz w:val="20"/>
          <w:szCs w:val="20"/>
          <w:lang w:eastAsia="cs-CZ"/>
        </w:rPr>
        <w:t>Mgr. František Koudela</w:t>
      </w:r>
      <w:r>
        <w:rPr>
          <w:rFonts w:ascii="Arial" w:eastAsia="Times New Roman" w:hAnsi="Arial" w:cs="Arial"/>
          <w:sz w:val="20"/>
          <w:szCs w:val="20"/>
          <w:lang w:eastAsia="cs-CZ"/>
        </w:rPr>
        <w:t>, starosta města</w:t>
      </w:r>
    </w:p>
    <w:p w14:paraId="438532B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00293881</w:t>
      </w:r>
    </w:p>
    <w:p w14:paraId="67F7DDC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CZ00293881</w:t>
      </w:r>
    </w:p>
    <w:p w14:paraId="2B046E84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plátce DPH</w:t>
      </w:r>
    </w:p>
    <w:p w14:paraId="64109983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Znojmo</w:t>
      </w:r>
    </w:p>
    <w:p w14:paraId="6BDE3571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19-5054880237/0100</w:t>
      </w:r>
    </w:p>
    <w:p w14:paraId="46B51DBF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Zástupce ve věcech technických: Ing. Karel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Bartušek - vedoucí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odboru investic a technických služeb</w:t>
      </w:r>
    </w:p>
    <w:p w14:paraId="2D42FF3B" w14:textId="77777777" w:rsidR="002C28FD" w:rsidRDefault="002C28FD" w:rsidP="002C28FD">
      <w:pPr>
        <w:spacing w:after="0" w:line="240" w:lineRule="auto"/>
        <w:ind w:firstLine="35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povinný subjekt dle § 2 odst. 1 zákona č. 340/2015 Sb. (o registru smluv) v platném znění</w:t>
      </w:r>
    </w:p>
    <w:p w14:paraId="7E4641E9" w14:textId="77777777"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5B92C9" w14:textId="77777777"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C1B0EB3" w14:textId="77777777" w:rsidR="002C28FD" w:rsidRPr="00D74F16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4F16">
        <w:rPr>
          <w:rFonts w:ascii="Arial" w:eastAsia="Times New Roman" w:hAnsi="Arial" w:cs="Arial"/>
          <w:b/>
          <w:sz w:val="20"/>
          <w:szCs w:val="20"/>
          <w:lang w:eastAsia="cs-CZ"/>
        </w:rPr>
        <w:t>Zhotovitel:</w:t>
      </w:r>
    </w:p>
    <w:p w14:paraId="6146E267" w14:textId="26B27473" w:rsidR="00B06787" w:rsidRPr="00DB6E2B" w:rsidRDefault="00DB6E2B" w:rsidP="0006344F">
      <w:pPr>
        <w:spacing w:after="0" w:line="240" w:lineRule="auto"/>
        <w:ind w:left="357"/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</w:pPr>
      <w:bookmarkStart w:id="0" w:name="_Hlk201908609"/>
      <w:r w:rsidRPr="00DB6E2B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>…………………</w:t>
      </w:r>
    </w:p>
    <w:p w14:paraId="55DD4601" w14:textId="272A307A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Sídlo: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24D387AE" w14:textId="189283DA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Jednající: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498A6A9D" w14:textId="47D8F944" w:rsidR="00B0292C" w:rsidRPr="00DB6E2B" w:rsidRDefault="00B0292C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6208E697" w14:textId="69DF92F2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IČO: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 xml:space="preserve"> </w:t>
      </w:r>
    </w:p>
    <w:p w14:paraId="0A831A88" w14:textId="4B2AA52E" w:rsidR="0006344F" w:rsidRPr="00D74F16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DIČ:</w:t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bookmarkEnd w:id="0"/>
    <w:p w14:paraId="629D878E" w14:textId="1495A78D" w:rsidR="0006344F" w:rsidRPr="00240963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Daňový režim: </w:t>
      </w: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>Plátce</w:t>
      </w:r>
      <w:r w:rsidR="00B0292C"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/Neplátce</w:t>
      </w: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DPH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0663C9C" w14:textId="3E0FAA61" w:rsidR="0006344F" w:rsidRPr="006C5245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Bankovní spojení: </w:t>
      </w: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 xml:space="preserve"> </w:t>
      </w:r>
    </w:p>
    <w:p w14:paraId="114304D8" w14:textId="7A082ED1" w:rsidR="002C28FD" w:rsidRPr="00240963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Číslo účtu: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FC219E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25796E" w14:textId="77777777" w:rsidR="002C28FD" w:rsidRDefault="002C28FD" w:rsidP="00074FE0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53354C04" w14:textId="77777777" w:rsidR="002C28FD" w:rsidRPr="00B0292C" w:rsidRDefault="002C28FD" w:rsidP="00074FE0">
      <w:pPr>
        <w:numPr>
          <w:ilvl w:val="1"/>
          <w:numId w:val="3"/>
        </w:numPr>
        <w:tabs>
          <w:tab w:val="clear" w:pos="720"/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Předmětem </w:t>
      </w:r>
      <w:r w:rsidRPr="00B0292C">
        <w:rPr>
          <w:rFonts w:ascii="Arial" w:eastAsia="Times New Roman" w:hAnsi="Arial" w:cs="Arial"/>
          <w:sz w:val="20"/>
          <w:szCs w:val="20"/>
          <w:lang w:eastAsia="cs-CZ"/>
        </w:rPr>
        <w:t>této smlouvy o dílo (dále jen „smlouva“) je závazek zhotovitele provést na svůj náklad a nebezpečí za podmínek stanovených v této smlouvě řádně a včas dílo specifikované níže v čl. II. této smlouvy a závazek objednatele převzít řádně provedené dílo a zaplatit za něj zhotoviteli níže sjednanou cenu.</w:t>
      </w:r>
    </w:p>
    <w:p w14:paraId="61AE5E28" w14:textId="3569BA5D" w:rsidR="00DB6E2B" w:rsidRPr="00DB6E2B" w:rsidRDefault="002C28FD" w:rsidP="00DB6E2B">
      <w:pPr>
        <w:numPr>
          <w:ilvl w:val="1"/>
          <w:numId w:val="3"/>
        </w:numPr>
        <w:tabs>
          <w:tab w:val="clear" w:pos="720"/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0292C">
        <w:rPr>
          <w:rFonts w:ascii="Arial" w:eastAsia="Times New Roman" w:hAnsi="Arial" w:cs="Arial"/>
          <w:sz w:val="20"/>
          <w:szCs w:val="20"/>
          <w:lang w:eastAsia="cs-CZ"/>
        </w:rPr>
        <w:t xml:space="preserve">Dílem se pro účely této smlouvy rozumí kompletní provedení předmětu 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zakázky na </w:t>
      </w:r>
      <w:r w:rsidR="00DB6E2B">
        <w:rPr>
          <w:rFonts w:ascii="Arial" w:eastAsia="Times New Roman" w:hAnsi="Arial" w:cs="Arial"/>
          <w:sz w:val="20"/>
          <w:szCs w:val="20"/>
          <w:lang w:eastAsia="cs-CZ"/>
        </w:rPr>
        <w:t>služby „</w:t>
      </w:r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>Zpracování architektonické studie Revitalizace ulic v památkové zóně Znojmo</w:t>
      </w:r>
      <w:r w:rsidR="00074FE0" w:rsidRPr="00DB6E2B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DB6E2B">
        <w:rPr>
          <w:rFonts w:ascii="Arial" w:eastAsia="Times New Roman" w:hAnsi="Arial" w:cs="Arial"/>
          <w:sz w:val="20"/>
          <w:szCs w:val="20"/>
          <w:lang w:eastAsia="cs-CZ"/>
        </w:rPr>
        <w:t xml:space="preserve">. Studie bude řešit </w:t>
      </w:r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revitalizaci historicky a urbanisticky cenných veřejných prostranství, které jsou součástí památkové zóny Znojmo. Jedná se o část nám. Republiky, ulice Lidickou, </w:t>
      </w:r>
      <w:proofErr w:type="spellStart"/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>Rudoleckého</w:t>
      </w:r>
      <w:proofErr w:type="spellEnd"/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, Bezručovu, Lužickou a nám. kpt. Otmara Chlupa. </w:t>
      </w:r>
    </w:p>
    <w:p w14:paraId="795F0AF4" w14:textId="68F97C65" w:rsidR="00DB6E2B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Bude zpracován komplexní návrh úprav veřejných prostranství, zahrnující řešení uličního prostoru, veřejného osvětlení, umístění městského mobiliáře včetně podzemních kontejnerových stání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návrh sadových úprav. Nový efektivní systém organizace parkování bude navržen v souladu s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připravovanou koncepcí parkování města Znojma.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7373BA0" w14:textId="77777777" w:rsidR="00DB6E2B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C6ECEA" w14:textId="00877E00" w:rsidR="00074FE0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074FE0"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 obsahuje:</w:t>
      </w:r>
    </w:p>
    <w:p w14:paraId="340F0C72" w14:textId="283CAC12" w:rsidR="0011044D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Zpracování</w:t>
      </w:r>
      <w:r w:rsidR="0011044D" w:rsidRPr="0011044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analytické části</w:t>
      </w:r>
      <w:r w:rsidR="0011044D" w:rsidRPr="0011044D">
        <w:rPr>
          <w:rFonts w:ascii="Arial" w:eastAsia="Times New Roman" w:hAnsi="Arial" w:cs="Arial"/>
          <w:sz w:val="20"/>
          <w:szCs w:val="20"/>
          <w:lang w:eastAsia="cs-CZ"/>
        </w:rPr>
        <w:t xml:space="preserve"> dle zadání (fáze 1)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42457B92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Urbanistická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struktura - analýza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prostorového uspořádání zástavby včetně typologie objektů, charakteru uličního profilu, výškové hladiny okolní zástavby a identifikace případných historických vrstev nebo urbanistických hodnot;</w:t>
      </w:r>
    </w:p>
    <w:p w14:paraId="7EA26887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lastRenderedPageBreak/>
        <w:t xml:space="preserve">Dopravní řešení - posouzení současného fungování všech forem dopravy v území – pěší dopravy, cyklistické infrastruktury, provozu MHD i automobilové dopravy, včetně organizace parkování a jejich vzájemných vztahů;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90F0BD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Technická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infrastruktura - přehled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a vyhodnocení dostupných údajů o vedení inženýrských sítí (vodovod, kanalizace, elektro, plyn, datové sítě), systému veřejného osvětlení a umístění prvků městského mobiliáře.</w:t>
      </w:r>
    </w:p>
    <w:p w14:paraId="4E705980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Veřejný prostor a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zeleň - zhodnocení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funkční i estetické kvality veřejného prostoru, stavu a rozmístění vegetačních prvků (stromořadí, travnaté plochy, výsadba), úroveň vybavení (lavičky, odpadkové koše, cyklo stojany apod.), a přítomnost prostorových bariér či překážek.</w:t>
      </w:r>
    </w:p>
    <w:p w14:paraId="47267158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Limity a problémy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území - identifikace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hlavních problémových jevů – dopravní zatížení, vizuální smog, nevhodně využívané nebo opuštěné plochy, prostorová nebo funkční neprostupnost apod.</w:t>
      </w:r>
    </w:p>
    <w:p w14:paraId="28D721C0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Závěrečný souhrn a prezentace zjištění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objednateli - strukturované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shrnutí hlavních zjištěných skutečností a doporučení, prezentované zadavateli jako východisko pro návrhovou část studie.</w:t>
      </w:r>
    </w:p>
    <w:p w14:paraId="4A91B59E" w14:textId="77777777" w:rsidR="00DB6E2B" w:rsidRPr="0011044D" w:rsidRDefault="00DB6E2B" w:rsidP="00DB6E2B">
      <w:pPr>
        <w:pStyle w:val="Odstavecseseznamem"/>
        <w:spacing w:after="6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8E313B" w14:textId="77777777" w:rsidR="0011044D" w:rsidRDefault="0011044D" w:rsidP="0011044D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FF83EA" w14:textId="3AA1E935" w:rsidR="0011044D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Urbanisticko-a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>rchitektonick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návrh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 xml:space="preserve"> (fáze 2):</w:t>
      </w:r>
    </w:p>
    <w:p w14:paraId="74E78E67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Urbanistická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struktura - analýza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prostorového uspořádání zástavby včetně typologie objektů, charakteru uličního profilu, výškové hladiny okolní zástavby a identifikace případných historických vrstev nebo urbanistických hodnot;</w:t>
      </w:r>
    </w:p>
    <w:p w14:paraId="724EF7C1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Dopravní řešení - posouzení současného fungování všech forem dopravy v území – pěší dopravy, cyklistické infrastruktury, provozu MHD i automobilové dopravy, včetně organizace parkování a jejich vzájemných vztahů;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83AE82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Technická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infrastruktura - přehled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a vyhodnocení dostupných údajů o vedení inženýrských sítí (vodovod, kanalizace, elektro, plyn, datové sítě), systému veřejného osvětlení a umístění prvků městského mobiliáře.</w:t>
      </w:r>
    </w:p>
    <w:p w14:paraId="08CA93C3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Veřejný prostor a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zeleň - zhodnocení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funkční i estetické kvality veřejného prostoru, stavu a rozmístění vegetačních prvků (stromořadí, travnaté plochy, výsadba), úroveň vybavení (lavičky, odpadkové koše, cyklo stojany apod.), a přítomnost prostorových bariér či překážek.</w:t>
      </w:r>
    </w:p>
    <w:p w14:paraId="5E934DD8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Limity a problémy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území - identifikace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hlavních problémových jevů – dopravní zatížení, vizuální smog, nevhodně využívané nebo opuštěné plochy, prostorová nebo funkční neprostupnost apod.</w:t>
      </w:r>
    </w:p>
    <w:p w14:paraId="541E458A" w14:textId="77777777" w:rsid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Závěrečný souhrn a prezentace zjištění </w:t>
      </w:r>
      <w:proofErr w:type="gramStart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objednateli - strukturované</w:t>
      </w:r>
      <w:proofErr w:type="gramEnd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shrnutí hlavních zjištěných skutečností a doporučení, prezentované zadavateli jako východisko pro návrhovou část studie.</w:t>
      </w:r>
    </w:p>
    <w:p w14:paraId="31CC12EB" w14:textId="77777777" w:rsidR="00DB6E2B" w:rsidRPr="00DB6E2B" w:rsidRDefault="00DB6E2B" w:rsidP="00DB6E2B">
      <w:pPr>
        <w:pStyle w:val="Odstavecseseznamem"/>
        <w:spacing w:after="0" w:line="259" w:lineRule="auto"/>
        <w:ind w:left="108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</w:p>
    <w:p w14:paraId="122D74D3" w14:textId="0F057829" w:rsidR="00DB6E2B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Struktura díla je vymezena následovně:</w:t>
      </w:r>
    </w:p>
    <w:p w14:paraId="671EFEAB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bookmarkStart w:id="1" w:name="_Hlk191034413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Textová část (v rozsahu UAS):</w:t>
      </w:r>
    </w:p>
    <w:bookmarkEnd w:id="1"/>
    <w:p w14:paraId="2B1CC941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základní technická zpráva, obsahující komplexní popis navrženého řešení;</w:t>
      </w:r>
    </w:p>
    <w:p w14:paraId="0A618202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zásady architektonického, konstrukčního a materiálového řešení, včetně doporučených přístupů ke ztvárnění prostoru, konstrukčnímu systému a volbě povrchových a stavebních materiálů;</w:t>
      </w:r>
    </w:p>
    <w:p w14:paraId="59C52D77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popis vyvolaných a dočasných úprav technické infrastruktury, včetně případných přeložek sítí;</w:t>
      </w:r>
    </w:p>
    <w:p w14:paraId="7C6E048B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analýza provozních a prostorových vztahů, se zaměřením na funkční propojení jednotlivých složek veřejného prostoru;</w:t>
      </w:r>
    </w:p>
    <w:p w14:paraId="23B1524B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návrh řešení dopravy v klidu, včetně způsobu organizace stání vozidel a návazností na širší dopravní systém;</w:t>
      </w:r>
    </w:p>
    <w:p w14:paraId="64AEBC38" w14:textId="3CB9E234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návrh etapizace realizace, s ohledem na technickou proveditelnost, finanční náročnost a</w:t>
      </w:r>
      <w:r>
        <w:rPr>
          <w:rFonts w:ascii="Arial" w:eastAsia="Times New Roman" w:hAnsi="Arial" w:cs="Arial"/>
          <w:sz w:val="20"/>
          <w:szCs w:val="20"/>
          <w:lang w:eastAsia="cs-CZ"/>
        </w:rPr>
        <w:t> p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rovozní kontinuitu území;</w:t>
      </w:r>
    </w:p>
    <w:p w14:paraId="57F86961" w14:textId="1E779A4B" w:rsid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doporučení pro další stupně projektové dokumentace (PD) – specifikace potřebných průzkumů, rozpracování technických řešení a návrh časového harmonogramu.</w:t>
      </w:r>
    </w:p>
    <w:p w14:paraId="65CC3F58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bookmarkStart w:id="2" w:name="_Hlk206672057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lastRenderedPageBreak/>
        <w:t>Grafická část:</w:t>
      </w:r>
    </w:p>
    <w:bookmarkEnd w:id="2"/>
    <w:p w14:paraId="0C3337B7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situace širších vztahů – vztah řešeného území k urbanistickému kontextu;</w:t>
      </w:r>
    </w:p>
    <w:p w14:paraId="23ED2B71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situace návrhu – přehledné znázornění všech navržených funkcí, vazeb a prostorových souvislostí;</w:t>
      </w:r>
    </w:p>
    <w:p w14:paraId="5CA85E39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koordinační situace – bude zahrnovat urbanistické a prostorové řešení, dopravní řešení, technickou infrastrukturu a návrh veřejného prostoru včetně zeleně; </w:t>
      </w:r>
    </w:p>
    <w:p w14:paraId="4233982F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situace dopravy v klidu – rozmístění parkovacích stání, zázemí pro cyklisty a zohlednění pěší prostupnosti; </w:t>
      </w:r>
    </w:p>
    <w:p w14:paraId="506216FE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bookmarkStart w:id="3" w:name="_Hlk191553302"/>
      <w:r w:rsidRPr="00DB6E2B">
        <w:rPr>
          <w:rFonts w:ascii="Arial" w:eastAsia="Times New Roman" w:hAnsi="Arial" w:cs="Arial"/>
          <w:sz w:val="20"/>
          <w:szCs w:val="20"/>
          <w:lang w:eastAsia="cs-CZ"/>
        </w:rPr>
        <w:t>řezy a pohledy na uliční profil v podrobnostech měřítka 1:100 – znázornění výškových vztahů a prostorového uspořádání;</w:t>
      </w:r>
    </w:p>
    <w:bookmarkEnd w:id="3"/>
    <w:p w14:paraId="5E18F8E5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perspektivní pohledy a vizualizace – minimálně dvě z každé řešené ulici či náměstí;</w:t>
      </w:r>
    </w:p>
    <w:p w14:paraId="7F11553C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charakteristické detaily – výběr prvků městského mobiliáře, povrchů, dlažeb, obrub, zeleně apod.</w:t>
      </w:r>
    </w:p>
    <w:p w14:paraId="024E1EC2" w14:textId="77777777" w:rsidR="0011044D" w:rsidRDefault="0011044D" w:rsidP="00030A9B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F6CAF4" w14:textId="77777777" w:rsidR="00030A9B" w:rsidRPr="00DB6E2B" w:rsidRDefault="00D74F16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Předání </w:t>
      </w:r>
      <w:r w:rsidR="00030A9B"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architektonické studie</w:t>
      </w:r>
    </w:p>
    <w:p w14:paraId="17D450C7" w14:textId="6A5C8F00" w:rsidR="00D74F16" w:rsidRDefault="00DB6E2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analytická část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 xml:space="preserve">: 1x tištěné </w:t>
      </w:r>
      <w:proofErr w:type="spellStart"/>
      <w:r w:rsidR="00030A9B">
        <w:rPr>
          <w:rFonts w:ascii="Arial" w:eastAsia="Times New Roman" w:hAnsi="Arial" w:cs="Arial"/>
          <w:sz w:val="20"/>
          <w:szCs w:val="20"/>
          <w:lang w:eastAsia="cs-CZ"/>
        </w:rPr>
        <w:t>paré</w:t>
      </w:r>
      <w:proofErr w:type="spellEnd"/>
      <w:r w:rsidR="00030A9B">
        <w:rPr>
          <w:rFonts w:ascii="Arial" w:eastAsia="Times New Roman" w:hAnsi="Arial" w:cs="Arial"/>
          <w:sz w:val="20"/>
          <w:szCs w:val="20"/>
          <w:lang w:eastAsia="cs-CZ"/>
        </w:rPr>
        <w:t>, 1x v digitální podobě</w:t>
      </w:r>
    </w:p>
    <w:p w14:paraId="3A2EE4B0" w14:textId="2DBAB3A2" w:rsidR="00030A9B" w:rsidRDefault="00DB6E2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urbanisticko-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 xml:space="preserve">architektonická studie: </w:t>
      </w:r>
      <w:r w:rsidR="00030A9B"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3x tištěné </w:t>
      </w:r>
      <w:proofErr w:type="spellStart"/>
      <w:r w:rsidR="00030A9B" w:rsidRPr="00030A9B">
        <w:rPr>
          <w:rFonts w:ascii="Arial" w:eastAsia="Times New Roman" w:hAnsi="Arial" w:cs="Arial"/>
          <w:sz w:val="20"/>
          <w:szCs w:val="20"/>
          <w:lang w:eastAsia="cs-CZ"/>
        </w:rPr>
        <w:t>paré</w:t>
      </w:r>
      <w:proofErr w:type="spellEnd"/>
      <w:r w:rsidR="00030A9B"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 (formát A3)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>, 1x v digitální podobě</w:t>
      </w:r>
    </w:p>
    <w:p w14:paraId="6D9B4E1D" w14:textId="77777777" w:rsidR="00874961" w:rsidRDefault="00874961" w:rsidP="00874961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A7F3CA" w14:textId="5277D6D5" w:rsidR="00030A9B" w:rsidRPr="00030A9B" w:rsidRDefault="00030A9B" w:rsidP="00030A9B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>devzdaná digitální podoba dokumentace bude v následujících formátech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F4077E9" w14:textId="47B90B19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textové části – DOC a PDF; </w:t>
      </w:r>
    </w:p>
    <w:p w14:paraId="3744CBDC" w14:textId="76E8C372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>tabulkové části (</w:t>
      </w:r>
      <w:r w:rsidR="00BB1A96">
        <w:rPr>
          <w:rFonts w:ascii="Arial" w:eastAsia="Times New Roman" w:hAnsi="Arial" w:cs="Arial"/>
          <w:sz w:val="20"/>
          <w:szCs w:val="20"/>
          <w:lang w:eastAsia="cs-CZ"/>
        </w:rPr>
        <w:t>odhad investičních nákladů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) – XLS a PDF; </w:t>
      </w:r>
    </w:p>
    <w:p w14:paraId="654D82D3" w14:textId="3E9D5A79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fotodokumentace – JPEG; </w:t>
      </w:r>
    </w:p>
    <w:p w14:paraId="4721E493" w14:textId="08B507E8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>výkresová dokumentace – DGN nebo DWG a PDF.</w:t>
      </w:r>
    </w:p>
    <w:p w14:paraId="5B5ED7AD" w14:textId="77777777" w:rsidR="00030A9B" w:rsidRDefault="00030A9B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2B8E20" w14:textId="4E6D8A48" w:rsidR="00D74F16" w:rsidRDefault="00030A9B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Součástí předmětu díla je dále:</w:t>
      </w:r>
    </w:p>
    <w:p w14:paraId="6895E348" w14:textId="750E6F03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min. 2x konzultace s pracovní skupinou objednatele</w:t>
      </w:r>
    </w:p>
    <w:p w14:paraId="4CF95827" w14:textId="7113592D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představení studie na jednání výboru pro plánování a majetek</w:t>
      </w:r>
    </w:p>
    <w:p w14:paraId="7DE4E5F0" w14:textId="265327CA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představení studie na veřejném projednání s občany</w:t>
      </w:r>
    </w:p>
    <w:p w14:paraId="09EA97A4" w14:textId="77777777" w:rsidR="00030A9B" w:rsidRDefault="00030A9B" w:rsidP="008167B1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F8456D" w14:textId="77777777" w:rsidR="00D74F16" w:rsidRPr="000C5FAF" w:rsidRDefault="00D74F16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Podrobně je předmět díla popsán v Zadání architektonické studie, které je součástí a přílohou této smlouvy.</w:t>
      </w:r>
    </w:p>
    <w:p w14:paraId="4F5229CE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Doba plnění díla</w:t>
      </w:r>
    </w:p>
    <w:p w14:paraId="167FBE3C" w14:textId="77777777" w:rsidR="00874961" w:rsidRDefault="002C28FD" w:rsidP="004C3302">
      <w:pPr>
        <w:numPr>
          <w:ilvl w:val="0"/>
          <w:numId w:val="4"/>
        </w:numPr>
        <w:tabs>
          <w:tab w:val="num" w:pos="0"/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483477">
        <w:rPr>
          <w:rFonts w:ascii="Arial" w:eastAsia="Times New Roman" w:hAnsi="Arial" w:cs="Arial"/>
          <w:sz w:val="20"/>
          <w:szCs w:val="20"/>
          <w:lang w:eastAsia="cs-CZ"/>
        </w:rPr>
        <w:t>Zhotovitel se zavazu</w:t>
      </w:r>
      <w:r w:rsidR="00470559" w:rsidRPr="00483477">
        <w:rPr>
          <w:rFonts w:ascii="Arial" w:eastAsia="Times New Roman" w:hAnsi="Arial" w:cs="Arial"/>
          <w:sz w:val="20"/>
          <w:szCs w:val="20"/>
          <w:lang w:eastAsia="cs-CZ"/>
        </w:rPr>
        <w:t xml:space="preserve">je předat 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dílo v těchto termínech:</w:t>
      </w:r>
    </w:p>
    <w:p w14:paraId="013C03B3" w14:textId="426AC742" w:rsidR="00483477" w:rsidRDefault="00874961" w:rsidP="00874961">
      <w:pPr>
        <w:pStyle w:val="Odstavecseseznamem"/>
        <w:numPr>
          <w:ilvl w:val="0"/>
          <w:numId w:val="17"/>
        </w:numPr>
        <w:tabs>
          <w:tab w:val="num" w:pos="7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část díla dle čl. II odst. 2 písm. a)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(fáze 1) </w:t>
      </w:r>
      <w:r w:rsidR="004C3302"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ve lhůtě do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týdnů</w:t>
      </w:r>
      <w:r w:rsidR="00B06787"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od nabytí účinnosti smlouvy</w:t>
      </w:r>
    </w:p>
    <w:p w14:paraId="69434265" w14:textId="4135D867" w:rsidR="00874961" w:rsidRPr="00874961" w:rsidRDefault="00874961" w:rsidP="00874961">
      <w:pPr>
        <w:pStyle w:val="Odstavecseseznamem"/>
        <w:numPr>
          <w:ilvl w:val="0"/>
          <w:numId w:val="17"/>
        </w:numPr>
        <w:tabs>
          <w:tab w:val="num" w:pos="7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část díla dle čl. II odst. 2 písm. </w:t>
      </w:r>
      <w:r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(fáze 2) 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ve lhůtě do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18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týdnů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 w:rsidRPr="00874961">
        <w:rPr>
          <w:rFonts w:ascii="Arial" w:eastAsia="Times New Roman" w:hAnsi="Arial" w:cs="Arial"/>
          <w:sz w:val="20"/>
          <w:szCs w:val="20"/>
          <w:lang w:eastAsia="cs-CZ"/>
        </w:rPr>
        <w:t>od nabytí účinnosti smlouvy</w:t>
      </w:r>
    </w:p>
    <w:p w14:paraId="2D0AAE38" w14:textId="77777777" w:rsidR="00874961" w:rsidRDefault="00874961" w:rsidP="00874961">
      <w:pPr>
        <w:tabs>
          <w:tab w:val="num" w:pos="720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66A66B" w14:textId="77777777" w:rsidR="002C28FD" w:rsidRDefault="002C28FD" w:rsidP="002C28FD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oprávněn provést dílo i před sjednaným termínem dokončení a objednatel je povinen dříve dokončené dílo převzít.</w:t>
      </w:r>
    </w:p>
    <w:p w14:paraId="59A8B8C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14:paraId="38C4EB34" w14:textId="306418C1"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 pevnou cenu díla, provedeného v rozsahu dle této smlouvy, která je cenou nejvýše přípustnou</w:t>
      </w:r>
      <w:r w:rsidR="00074FE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8ED820E" w14:textId="77777777" w:rsidR="00074FE0" w:rsidRDefault="00074FE0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6529DF" w14:textId="160DE7C8" w:rsidR="00874961" w:rsidRPr="00BB1A96" w:rsidRDefault="00874961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Cena za fázi 1: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="008167B1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 …</w:t>
      </w:r>
      <w:proofErr w:type="gramEnd"/>
      <w:r w:rsidR="008167B1" w:rsidRPr="00BB1A96"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Kč </w:t>
      </w:r>
    </w:p>
    <w:p w14:paraId="341EA872" w14:textId="0D3850B0" w:rsidR="00874961" w:rsidRPr="00BB1A96" w:rsidRDefault="00874961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Cena za fázi 2: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="008167B1" w:rsidRPr="00BB1A96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 Kč </w:t>
      </w:r>
    </w:p>
    <w:p w14:paraId="758005F9" w14:textId="542A5D70" w:rsidR="002C28FD" w:rsidRPr="00BB1A96" w:rsidRDefault="002C28FD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Celková cena</w:t>
      </w:r>
      <w:r w:rsidR="00D058A5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proofErr w:type="gramStart"/>
      <w:r w:rsidR="00D058A5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="001856E5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074FE0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7496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7496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proofErr w:type="gramEnd"/>
      <w:r w:rsidR="0087496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167B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……………</w:t>
      </w:r>
      <w:r w:rsidR="00074FE0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</w:t>
      </w:r>
    </w:p>
    <w:p w14:paraId="1905A22E" w14:textId="77777777" w:rsidR="00874961" w:rsidRPr="00074FE0" w:rsidRDefault="00874961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B722ABA" w14:textId="77777777" w:rsidR="001856E5" w:rsidRPr="00074FE0" w:rsidRDefault="001856E5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K ceně bude připočtena sazba DPH platná v době uskutečnění zdanitelného plnění.</w:t>
      </w:r>
    </w:p>
    <w:p w14:paraId="75DDF26A" w14:textId="77777777" w:rsidR="002C28FD" w:rsidRDefault="00E0076F" w:rsidP="002C28FD">
      <w:pPr>
        <w:tabs>
          <w:tab w:val="num" w:pos="426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  <w:lastRenderedPageBreak/>
        <w:tab/>
      </w:r>
      <w:r w:rsidR="002C28F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5EA9CC55" w14:textId="77777777" w:rsidR="002C28FD" w:rsidRPr="00734D49" w:rsidRDefault="002C28FD" w:rsidP="00734D49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zahrnuje zejména zisk a veškeré náklady na realizaci díla včetně nákla</w:t>
      </w:r>
      <w:r>
        <w:rPr>
          <w:rFonts w:ascii="Arial" w:eastAsia="Times New Roman" w:hAnsi="Arial" w:cs="Arial"/>
          <w:sz w:val="20"/>
          <w:szCs w:val="20"/>
          <w:lang w:eastAsia="cs-CZ"/>
        </w:rPr>
        <w:softHyphen/>
        <w:t>dů souvisejících (např. daně, pojištění, veškeré dopravní náklady, zvýšené náklady vyplývající z obchodních podmínek a z vývoje cen do doby provedení díla) a dále náklady na veškeré práce, dodávky a služby uvedené v čl. II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41815" w:rsidRPr="00441815">
        <w:rPr>
          <w:rFonts w:ascii="Arial" w:eastAsia="Times New Roman" w:hAnsi="Arial" w:cs="Arial"/>
          <w:sz w:val="20"/>
          <w:szCs w:val="20"/>
          <w:lang w:eastAsia="cs-CZ"/>
        </w:rPr>
        <w:t>a v příloze č. 1</w:t>
      </w:r>
      <w:r w:rsidR="004418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</w:p>
    <w:p w14:paraId="3310D496" w14:textId="77777777"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za případné vícetisky požadované objednatelem nad sjednaný počet vyhotovení není součástí celkové ceny díla podle tohoto článku a bude zhotovitelem fakturována zvlášť, a to podle obecně platných zvyklostí a v cenách na trhu obvyklých.</w:t>
      </w:r>
    </w:p>
    <w:p w14:paraId="27B85410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14:paraId="657DADEC" w14:textId="10F64027" w:rsidR="00740619" w:rsidRDefault="002C28FD" w:rsidP="00874961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Cena za dílo bude objednatelem uhrazena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na základě </w:t>
      </w:r>
      <w:r w:rsidR="00874961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dvou </w:t>
      </w:r>
      <w:r w:rsidR="00D904BC" w:rsidRPr="00BB1A96">
        <w:rPr>
          <w:rFonts w:ascii="Arial" w:eastAsia="Times New Roman" w:hAnsi="Arial" w:cs="Arial"/>
          <w:sz w:val="20"/>
          <w:szCs w:val="20"/>
          <w:lang w:eastAsia="cs-CZ"/>
        </w:rPr>
        <w:t>faktur, kter</w:t>
      </w:r>
      <w:r w:rsidR="00874961" w:rsidRPr="00BB1A9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bud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zhotovitelem vystaven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po předání a převzetí 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každé fáze díla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>. Přílohou faktur musí být kopie protokolu o předání a převzetí díla.</w:t>
      </w:r>
    </w:p>
    <w:p w14:paraId="52C28D05" w14:textId="45589857" w:rsidR="00874961" w:rsidRPr="00874961" w:rsidRDefault="00874961" w:rsidP="00874961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5973">
        <w:rPr>
          <w:rFonts w:ascii="Arial" w:eastAsia="Times New Roman" w:hAnsi="Arial" w:cs="Arial"/>
          <w:sz w:val="20"/>
          <w:szCs w:val="20"/>
          <w:lang w:eastAsia="cs-CZ"/>
        </w:rPr>
        <w:t xml:space="preserve">Doručení faktury se provede elektronicky ve formátu ISDOC na e-mailovou adresu fakturace@muznojmo.cz. Maximální velikost souboru vč. příloh je do 10 </w:t>
      </w:r>
      <w:proofErr w:type="spellStart"/>
      <w:r w:rsidRPr="000E5973">
        <w:rPr>
          <w:rFonts w:ascii="Arial" w:eastAsia="Times New Roman" w:hAnsi="Arial" w:cs="Arial"/>
          <w:sz w:val="20"/>
          <w:szCs w:val="20"/>
          <w:lang w:eastAsia="cs-CZ"/>
        </w:rPr>
        <w:t>Mb</w:t>
      </w:r>
      <w:proofErr w:type="spellEnd"/>
      <w:r w:rsidRPr="000E597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18614D9" w14:textId="77777777" w:rsidR="002C28FD" w:rsidRPr="002E4B48" w:rsidRDefault="002C28FD" w:rsidP="002E4B48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4B48">
        <w:rPr>
          <w:rFonts w:ascii="Arial" w:eastAsia="Times New Roman" w:hAnsi="Arial" w:cs="Arial"/>
          <w:sz w:val="20"/>
          <w:szCs w:val="20"/>
          <w:lang w:eastAsia="cs-CZ"/>
        </w:rPr>
        <w:t>Faktura je daňovým dokladem a musí obsahovat veškeré náležitosti dle předpisů o účetnictví, daních a ostatních předpisů.</w:t>
      </w:r>
    </w:p>
    <w:p w14:paraId="2FDA81B4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vrátit zhotoviteli fakturu do data její splatnosti, jestliže bude obsahovat nesprávné či neúplné údaje nebo k ní nebudou přiloženy dohodnuté přílohy. V takovém případě se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přeruší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plynutí lhůty splatnosti a lhůta splatnosti začne plynout od počátku ode dne doručení opravené faktury objednateli.</w:t>
      </w:r>
    </w:p>
    <w:p w14:paraId="6CAEAB0F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byla smluvními stranami dohodnuta na </w:t>
      </w:r>
      <w:r w:rsidRPr="00074FE0">
        <w:rPr>
          <w:rFonts w:ascii="Arial" w:eastAsia="Times New Roman" w:hAnsi="Arial" w:cs="Arial"/>
          <w:bCs/>
          <w:sz w:val="20"/>
          <w:szCs w:val="20"/>
          <w:lang w:eastAsia="cs-CZ"/>
        </w:rPr>
        <w:t>30 dnů ode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dne doručení faktury objednateli. </w:t>
      </w:r>
    </w:p>
    <w:p w14:paraId="03E54208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Platbu poukáže objednatel bezhotovostně na účet zhotovitele. Povinnost zaplatit je splněna dnem odepsání fakturované částky z účtu objednatele.</w:t>
      </w:r>
    </w:p>
    <w:p w14:paraId="0D22EFD2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případě úhrady faktury nebo její části po lhůtě splatnosti má zhotovitel nárok na úrok z prodlení ve výši 0,01 % z dlužné částky za každý den prodlení.</w:t>
      </w:r>
    </w:p>
    <w:p w14:paraId="105706A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Součinnost objednatele a povinnosti zhotovitele</w:t>
      </w:r>
    </w:p>
    <w:p w14:paraId="75A6494B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bude zhotovitele informovat o všech změnách, které mu budou známy a které mohou ovlivnit výsledek prací na díle.</w:t>
      </w:r>
    </w:p>
    <w:p w14:paraId="0756B74A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zavazuje k dodržování technologických a pracovních postupů dle standardů.</w:t>
      </w:r>
    </w:p>
    <w:p w14:paraId="24C23ADF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bez zbytečného prodlení písemně upozornit objednatele na případnou nesprávnost jím dodaných pokynů, technického řešení či překážky omezující plynulost provádění díla, nebo znemožňující provedení díla.</w:t>
      </w:r>
    </w:p>
    <w:p w14:paraId="4A593E33" w14:textId="77777777" w:rsidR="002C28FD" w:rsidRDefault="002C28FD" w:rsidP="00074FE0">
      <w:pPr>
        <w:numPr>
          <w:ilvl w:val="1"/>
          <w:numId w:val="7"/>
        </w:numPr>
        <w:tabs>
          <w:tab w:val="left" w:pos="284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Zhotovitel v plné míře odpovídá za bezpečnost a ochranu zdraví při práci pracovníků, kteří provádějí práci ve smyslu předmětu smlouvy. Zhotovitel se zavazuje dodržovat předpisy BOZP a PO.</w:t>
      </w:r>
    </w:p>
    <w:p w14:paraId="5CB4056A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14:paraId="01409A04" w14:textId="77777777" w:rsidR="002C28FD" w:rsidRDefault="002C28FD" w:rsidP="00074FE0">
      <w:pPr>
        <w:numPr>
          <w:ilvl w:val="1"/>
          <w:numId w:val="8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při realizaci díla dodržovat tuto smlouvu, převzaté podklady a pokyny objednatele, veškeré ČSN, bezpečnostní, hygienické a další obecně závazné předpisy, které se týkají jeho činnosti při provádění díla.</w:t>
      </w:r>
    </w:p>
    <w:p w14:paraId="26612B26" w14:textId="77777777" w:rsidR="002C28FD" w:rsidRDefault="002C28FD" w:rsidP="00074FE0">
      <w:pPr>
        <w:numPr>
          <w:ilvl w:val="1"/>
          <w:numId w:val="8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dílo realizovat v souladu s platným Územním plánem města Znojma.</w:t>
      </w:r>
    </w:p>
    <w:p w14:paraId="78C12446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Odpovědnost za škodu</w:t>
      </w:r>
    </w:p>
    <w:p w14:paraId="2499841C" w14:textId="77777777" w:rsidR="002C28FD" w:rsidRDefault="002C28FD" w:rsidP="002C28FD">
      <w:pPr>
        <w:numPr>
          <w:ilvl w:val="1"/>
          <w:numId w:val="9"/>
        </w:numPr>
        <w:tabs>
          <w:tab w:val="clear" w:pos="360"/>
          <w:tab w:val="num" w:pos="284"/>
          <w:tab w:val="left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Odpovědnost za škodu se řídí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2894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násl. občanského zákoníku.</w:t>
      </w:r>
    </w:p>
    <w:p w14:paraId="306DECFB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Předání díla</w:t>
      </w:r>
    </w:p>
    <w:p w14:paraId="0429259D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splní svůj závazek řádným dokončením díla a jeho předáním objednateli dle čl. III. této smlouvy. Řádným dokončením díla se rozumí dokončení díla bez vad a nedodělků;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2605 občanského zákoníku se nepoužije.</w:t>
      </w:r>
    </w:p>
    <w:p w14:paraId="3994B600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 odevzdání a převzetí díla bude vyhotoven písemný zápis. Objednatel není povinen dílo převzít, má-li dílo vady či nedodělky; učiní-li tak, pak nedílnou součástí zápisu o předání a převzetí díla bude soupis případných vad a nedodělků s termínem jejich odstranění. Nebude-li uveden termín odstranění vad, budou odstraněny bez zbytečného odkladu po předání díla, nejpozději však do 10 pracovních dní od předání díla objednateli.</w:t>
      </w:r>
    </w:p>
    <w:p w14:paraId="19170029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Jestliže objednatel odmítne dílo převzít,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sepíší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14:paraId="226DD66D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Vlastnické právo k vytvořenému dílu na objednatele přechází předáním a převzetím díla podle tohoto článku.</w:t>
      </w:r>
    </w:p>
    <w:p w14:paraId="0D8BD14F" w14:textId="775A6357" w:rsidR="002C28FD" w:rsidRPr="0006344F" w:rsidRDefault="002C28FD" w:rsidP="0006344F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Odpovědnost za vady díla, záruka za jakost díla</w:t>
      </w:r>
    </w:p>
    <w:p w14:paraId="47E98842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Vadou díla se rozumí odchylka v kvalitě, rozsahu a parametrech díla stanovených touto smlouvou a příslušnými právními předpisy.</w:t>
      </w:r>
    </w:p>
    <w:p w14:paraId="651D2D88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poskytuje objednateli záruku na dílo v délce 24 měsíců ode dne převzetí díla objednatelem.</w:t>
      </w:r>
    </w:p>
    <w:p w14:paraId="2B68A747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odpovídá za vady, které má předmět díla v době jeho předání objednateli, a dále za ty, které se na předmětu díla vyskytnou v záruční době uvedené v bodu 2 tohoto článku.</w:t>
      </w:r>
    </w:p>
    <w:p w14:paraId="68E625B5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odstranit oprávněně reklamované vady neprodleně, nejpozději však do 10 pracovních dnů od doručení reklamace, pokud nebude smluvními stranami písemně dohodnuta jiná lhůta.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Oprava chyby nezprošťuje zhotovitele úhrady smluvní pokuty.</w:t>
      </w:r>
    </w:p>
    <w:p w14:paraId="60418591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uplatňovat též nárok na náhradu škody, která vznikla v příčinné souvislosti se zjištěnými vadami, a zhotovitel je povinen tuto škodu nahradit.</w:t>
      </w:r>
    </w:p>
    <w:p w14:paraId="4CADEC55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pokuty</w:t>
      </w:r>
    </w:p>
    <w:p w14:paraId="47505EDB" w14:textId="5B3CC072" w:rsidR="002C28FD" w:rsidRPr="00BB1A96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zhotovitel nepředá předmět díla ve sjednaném termínu, je objednatel oprávněn požadovat zaplacení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smluvní pokuty ve výši 0,5 %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>příslušné fáze dí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>la bez DPH za každý započatý den prodlení.</w:t>
      </w:r>
    </w:p>
    <w:p w14:paraId="7153D990" w14:textId="26DEBFA2" w:rsidR="002C28FD" w:rsidRPr="00BB1A96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výsledek díla předaný zhotovitelem objednateli bude obsahovat věcné chyby, je objednatel oprávněn požadovat zaplacení smluvní pokuty ve výši 0,5 %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díla bez DPH za každou jednotlivou věcnou chybu. Věcnou chybou se rozumí i chybějící </w:t>
      </w:r>
      <w:r w:rsidR="00B91097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nebo nedostatečně specifikovaná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položka ve výkazu výměr. </w:t>
      </w:r>
    </w:p>
    <w:p w14:paraId="38CE59A1" w14:textId="048A5570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V případě prodlení zhotovitele s odstraněním vad nebo nedodělků uvedených v zápise o předání a převzetí díla, je objednatel oprávněn požadovat zaplacení smluvní pokuty ve výši 0,2 %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>díla bez DPH</w:t>
      </w: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 za každý započatý den prodlení a každou vadu nebo nedodělek. </w:t>
      </w:r>
    </w:p>
    <w:p w14:paraId="5F515A1E" w14:textId="1D166E3F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zhotovitel bude v prodlení s odstraněním reklamované vady díla, je objednatel oprávněn požadovat zaplacení smluvní pokuty ve výši 0,2 % z ceny </w:t>
      </w:r>
      <w:r w:rsidR="00702E45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074FE0">
        <w:rPr>
          <w:rFonts w:ascii="Arial" w:eastAsia="Times New Roman" w:hAnsi="Arial" w:cs="Arial"/>
          <w:sz w:val="20"/>
          <w:szCs w:val="20"/>
          <w:lang w:eastAsia="cs-CZ"/>
        </w:rPr>
        <w:t>díla bez DPH za každý započatý den prodlení a vadu.</w:t>
      </w:r>
    </w:p>
    <w:p w14:paraId="4EFB0890" w14:textId="77777777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Výše smluvní pokuty se sjednává maximálně do výše ceny díla. Nárok na náhradu škody není smluvními pokutami sjednanými v této smlouvě dotčen; </w:t>
      </w:r>
      <w:proofErr w:type="spellStart"/>
      <w:r w:rsidRPr="00074FE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074FE0">
        <w:rPr>
          <w:rFonts w:ascii="Arial" w:eastAsia="Times New Roman" w:hAnsi="Arial" w:cs="Arial"/>
          <w:sz w:val="20"/>
          <w:szCs w:val="20"/>
          <w:lang w:eastAsia="cs-CZ"/>
        </w:rPr>
        <w:t>. § 2050 občanského zákoníku se nepoužije.</w:t>
      </w:r>
    </w:p>
    <w:p w14:paraId="0F846A16" w14:textId="77777777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Smluvní pokuta je splatná ve lhůtě 14 dnů od doručení výzvy k zaplacení. </w:t>
      </w:r>
    </w:p>
    <w:p w14:paraId="65E68570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Odstoupení od smlouvy</w:t>
      </w:r>
    </w:p>
    <w:p w14:paraId="579A0369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 této smlouvy může odstoupit kterákoliv smluvní strana, pokud zjistí podstatné porušení této smlouvy druhou smluvní stranou.</w:t>
      </w:r>
    </w:p>
    <w:p w14:paraId="4A81B84C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Podstatným porušením této smlouvy se rozumí zejména:</w:t>
      </w:r>
    </w:p>
    <w:p w14:paraId="6D881DB0" w14:textId="77777777" w:rsidR="002C28FD" w:rsidRDefault="002C28FD" w:rsidP="00074FE0">
      <w:pPr>
        <w:spacing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 prodlení zhotovitele se splněním termínu předání díla dle čl. III této smlouvy delší než 15 pracovních dnů.</w:t>
      </w:r>
    </w:p>
    <w:p w14:paraId="19E7E03A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před splněním závazku provést dílo dojde k odstoupení od smlouvy, zpracuje nezávislý znalecký subjekt soupis skutečně provedených prací, který ocenění prostřednictvím jednotkových cen uvedených v položkovém rozpočtu, který je součástí této smlouvy. Na základě tohoto ocenění bude provedeno vzájemné finanční vyrovnání. Náklady na sepsání a ocenění provedených prací hradí strana, která smlouvu porušila.</w:t>
      </w:r>
    </w:p>
    <w:p w14:paraId="6F91CB2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Licenční ujednání</w:t>
      </w:r>
    </w:p>
    <w:p w14:paraId="472AF527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nesmí poskytnout dílo jiné osobě než objednateli. </w:t>
      </w:r>
    </w:p>
    <w:p w14:paraId="560BA153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zhotovitel uděluje objednateli licenci k veškerým nehmotným statkům, ke kterým mu vznikne vlastnické právo v důsledku provádění díla podle této smlouvy, a na které se vztahuje zákon č. 121/2000 Sb., </w:t>
      </w:r>
      <w:r>
        <w:rPr>
          <w:rFonts w:ascii="Arial" w:hAnsi="Arial" w:cs="Arial"/>
          <w:sz w:val="20"/>
          <w:szCs w:val="20"/>
          <w:shd w:val="clear" w:color="auto" w:fill="FFFFFF"/>
        </w:rPr>
        <w:t>o právu autorském, o právech souvisejících s právem autorským a o změně některých zákonů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(autorský zákon)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ve znění pozdějších předpisů (dále jen „nehmotný statek“), a to za předpokladu, že je zhotovitel povinen na základě této smlouvy hmotný substrát, na kterém je nehmotný statek zachycen, předat objednateli. Zhotovitel uděluje podpisem této smlouvy výhradní licenci k užití takového nehmotného statku. </w:t>
      </w:r>
    </w:p>
    <w:p w14:paraId="1738C3EC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užít nehmotný statek všemi způsoby, tj. je oprávněn jej zejména dále zpracovat, měnit či upravovat. </w:t>
      </w:r>
    </w:p>
    <w:p w14:paraId="77C0F53F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touto smlouvou uděluje objednateli souhlas k tomu, aby oprávnění, která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tvoří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součást výhradní licence podle odst. 2 tohoto článku, zcela nebo zčásti převedl formou podlicence na třetí osobu. Zhotovitel rovněž uděluje objednateli souhlas k tomu, aby udělenou výhradní licenci jako celek převedl na třetí osobu. Objednatel není povinen těchto oprávnění využít.</w:t>
      </w:r>
    </w:p>
    <w:p w14:paraId="408D5AC9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Licence je poskytnuta objednateli na dobu trvání majetkových práv zhotovitele k nehmotnému statku, přičemž objednatel není povinen tuto licenci využít. </w:t>
      </w:r>
    </w:p>
    <w:p w14:paraId="09E0B640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za užití nehmotného statku je již zahrnuta do ceny díla sjednané v této smlouvě.</w:t>
      </w:r>
    </w:p>
    <w:p w14:paraId="0CBC77F1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3551FEFD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</w:t>
      </w:r>
      <w:r w:rsidR="00516F2C">
        <w:rPr>
          <w:rFonts w:ascii="Arial" w:eastAsia="Times New Roman" w:hAnsi="Arial" w:cs="Arial"/>
          <w:sz w:val="20"/>
          <w:szCs w:val="20"/>
          <w:lang w:eastAsia="cs-CZ"/>
        </w:rPr>
        <w:t xml:space="preserve"> a účinnosti dnem uveřejnění v registru smluv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  <w:r w:rsidR="00ED6B87" w:rsidRPr="00ED6B87">
        <w:rPr>
          <w:rFonts w:ascii="Arial" w:hAnsi="Arial" w:cs="Arial"/>
          <w:sz w:val="20"/>
          <w:szCs w:val="20"/>
        </w:rPr>
        <w:t xml:space="preserve"> </w:t>
      </w:r>
      <w:r w:rsidR="00ED6B87">
        <w:rPr>
          <w:rFonts w:ascii="Arial" w:hAnsi="Arial" w:cs="Arial"/>
          <w:sz w:val="20"/>
          <w:szCs w:val="20"/>
        </w:rPr>
        <w:t>Smlouvu se zavazuje v registru smluv zveřejnit objednatel.</w:t>
      </w:r>
    </w:p>
    <w:p w14:paraId="25B010B8" w14:textId="77777777" w:rsidR="002C28FD" w:rsidRPr="00CB2E83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2E83">
        <w:rPr>
          <w:rFonts w:ascii="Arial" w:eastAsia="Times New Roman" w:hAnsi="Arial" w:cs="Arial"/>
          <w:sz w:val="20"/>
          <w:szCs w:val="20"/>
          <w:lang w:eastAsia="cs-CZ"/>
        </w:rPr>
        <w:t xml:space="preserve">Smlouva je vyhotovena 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v jediném výtisku s připojenými elektronickými podpisy každé ze smluvních stran. Smluvní strany prohlašují, že smlouvu podepsaly osoby, které mají právo připojit zaručený elektronický podpis, který splňuje požadavky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5 písm. a) a b) zákona č. 297/2016 Sb.,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 službách vytvářejících důvěru pro elektronické transakce, ve znění pozdějších předpisů, a že tuto smlouvu podepsaly osoby, které jsou držiteli prostředku pro vytváření elektronických podpisů, a v souladu s tím, ve smyslu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8 odst. 1 výše uvedeného zákona,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opatřují tento podepsaný elektronický dokument kvalifikovaným elektronickým časovým razítkem.</w:t>
      </w:r>
    </w:p>
    <w:p w14:paraId="6E7E3064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14:paraId="7A136C74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výslovně potvrzují, že základní podmínky této smlouvy jsou výsledkem jednání stran a každá ze stran měla příležitost ovlivnit obsah základních podmínek této smlouvy.</w:t>
      </w:r>
    </w:p>
    <w:p w14:paraId="01D0BF21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</w:t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14:paraId="40410C5C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1A84082F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účely,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než pro plnění této smlouvy, v opačném případě vydá druhá strana to, oč se obohatila; tím není dotčena povinnost k náhradě škody. </w:t>
      </w:r>
    </w:p>
    <w:p w14:paraId="563AA6A0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prohlašují, že tato smlouva je projevem jejich svobodné a vážné vůle, což stvrzují svými podpisy.</w:t>
      </w:r>
    </w:p>
    <w:p w14:paraId="231720C4" w14:textId="32182F6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Uzavření této smlouvy schválila </w:t>
      </w:r>
      <w:r w:rsidR="0060704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ada města Znojma usnesením č.</w:t>
      </w:r>
      <w:r w:rsidR="006070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E45">
        <w:rPr>
          <w:rFonts w:ascii="Arial" w:hAnsi="Arial" w:cs="Arial"/>
          <w:sz w:val="20"/>
          <w:szCs w:val="20"/>
        </w:rPr>
        <w:t>xxx</w:t>
      </w:r>
      <w:proofErr w:type="spellEnd"/>
      <w:r w:rsidR="00607042">
        <w:rPr>
          <w:rFonts w:ascii="Arial" w:hAnsi="Arial" w:cs="Arial"/>
          <w:sz w:val="20"/>
          <w:szCs w:val="20"/>
        </w:rPr>
        <w:t>/2025</w:t>
      </w:r>
      <w:r>
        <w:rPr>
          <w:rFonts w:ascii="Arial" w:hAnsi="Arial" w:cs="Arial"/>
          <w:sz w:val="20"/>
          <w:szCs w:val="20"/>
        </w:rPr>
        <w:t>, bodem č</w:t>
      </w:r>
      <w:r w:rsidR="00942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02E45">
        <w:rPr>
          <w:rFonts w:ascii="Arial" w:hAnsi="Arial" w:cs="Arial"/>
          <w:sz w:val="20"/>
          <w:szCs w:val="20"/>
        </w:rPr>
        <w:t>xxxx</w:t>
      </w:r>
      <w:proofErr w:type="spellEnd"/>
      <w:r w:rsidR="007F66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ze dne</w:t>
      </w:r>
      <w:r w:rsidR="00B24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E45">
        <w:rPr>
          <w:rFonts w:ascii="Arial" w:hAnsi="Arial" w:cs="Arial"/>
          <w:sz w:val="20"/>
          <w:szCs w:val="20"/>
        </w:rPr>
        <w:t>xxxxx</w:t>
      </w:r>
      <w:proofErr w:type="spellEnd"/>
      <w:r w:rsidR="007F663B">
        <w:rPr>
          <w:rFonts w:ascii="Arial" w:hAnsi="Arial" w:cs="Arial"/>
          <w:sz w:val="20"/>
          <w:szCs w:val="20"/>
        </w:rPr>
        <w:t>.</w:t>
      </w:r>
    </w:p>
    <w:p w14:paraId="4950D479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F3F48F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F9DA2D" w14:textId="68A6D391" w:rsidR="002C28FD" w:rsidRDefault="00283375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 Znojmě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(dle data el. podpisu)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V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02E45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C28FD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(dle data el. podpisu)</w:t>
      </w:r>
    </w:p>
    <w:p w14:paraId="0D33F473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359C3F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CB7E6C4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1CCACA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9C7C34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55A20B" w14:textId="77777777"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_____________________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_____________________</w:t>
      </w:r>
    </w:p>
    <w:p w14:paraId="473660F4" w14:textId="5207DCA7" w:rsidR="002C28FD" w:rsidRPr="00960C31" w:rsidRDefault="00074FE0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Mgr. František Koudela</w:t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C324C22" w14:textId="77777777" w:rsidR="00A83512" w:rsidRPr="00960C31" w:rsidRDefault="002C28FD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</w:t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09F5F84" w14:textId="77777777" w:rsidR="002C28FD" w:rsidRPr="00960C31" w:rsidRDefault="00AA07F7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  <w:t>zhotovitel</w:t>
      </w:r>
    </w:p>
    <w:p w14:paraId="7D1FF00A" w14:textId="77777777" w:rsidR="00DE6952" w:rsidRDefault="00DE6952"/>
    <w:p w14:paraId="4D48AC77" w14:textId="77777777" w:rsidR="009840AA" w:rsidRDefault="009840AA"/>
    <w:p w14:paraId="780D27C5" w14:textId="77777777" w:rsidR="00AA07F7" w:rsidRDefault="00AA07F7"/>
    <w:sectPr w:rsidR="00AA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743"/>
    <w:multiLevelType w:val="hybridMultilevel"/>
    <w:tmpl w:val="186C4E26"/>
    <w:lvl w:ilvl="0" w:tplc="92C88C8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A07B7"/>
    <w:multiLevelType w:val="hybridMultilevel"/>
    <w:tmpl w:val="7652C0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B1A89"/>
    <w:multiLevelType w:val="hybridMultilevel"/>
    <w:tmpl w:val="06A898FE"/>
    <w:lvl w:ilvl="0" w:tplc="92C88C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A63A8D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8E5031"/>
    <w:multiLevelType w:val="hybridMultilevel"/>
    <w:tmpl w:val="7D302C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243A5D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0B46347"/>
    <w:multiLevelType w:val="hybridMultilevel"/>
    <w:tmpl w:val="D7206A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25B"/>
    <w:multiLevelType w:val="hybridMultilevel"/>
    <w:tmpl w:val="E27A0B98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2E344BB5"/>
    <w:multiLevelType w:val="hybridMultilevel"/>
    <w:tmpl w:val="F7062F7A"/>
    <w:lvl w:ilvl="0" w:tplc="A050892C">
      <w:start w:val="1"/>
      <w:numFmt w:val="upperRoman"/>
      <w:lvlText w:val="%1."/>
      <w:lvlJc w:val="right"/>
      <w:pPr>
        <w:ind w:left="454" w:hanging="94"/>
      </w:pPr>
      <w:rPr>
        <w:rFonts w:ascii="Arial" w:hAnsi="Arial" w:cs="Arial" w:hint="default"/>
        <w:b/>
        <w:i w:val="0"/>
        <w:sz w:val="24"/>
        <w:szCs w:val="24"/>
      </w:rPr>
    </w:lvl>
    <w:lvl w:ilvl="1" w:tplc="CBB204D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79C0D30"/>
    <w:multiLevelType w:val="multilevel"/>
    <w:tmpl w:val="A4DC1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A282B75"/>
    <w:multiLevelType w:val="multilevel"/>
    <w:tmpl w:val="9CC85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80219"/>
    <w:multiLevelType w:val="hybridMultilevel"/>
    <w:tmpl w:val="7338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12D6"/>
    <w:multiLevelType w:val="hybridMultilevel"/>
    <w:tmpl w:val="DF9A9964"/>
    <w:lvl w:ilvl="0" w:tplc="31E0A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07A22"/>
    <w:multiLevelType w:val="hybridMultilevel"/>
    <w:tmpl w:val="216A4A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A5118"/>
    <w:multiLevelType w:val="hybridMultilevel"/>
    <w:tmpl w:val="2326D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214C2"/>
    <w:multiLevelType w:val="hybridMultilevel"/>
    <w:tmpl w:val="C5E2186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72631A7D"/>
    <w:multiLevelType w:val="multilevel"/>
    <w:tmpl w:val="2788F32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B4A1BA3"/>
    <w:multiLevelType w:val="hybridMultilevel"/>
    <w:tmpl w:val="B0A8CB28"/>
    <w:lvl w:ilvl="0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7D0B5A20"/>
    <w:multiLevelType w:val="hybridMultilevel"/>
    <w:tmpl w:val="94700C5E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43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7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89500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374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86615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23907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44182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985995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672578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25294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24637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2830708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33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7809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1096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579618">
    <w:abstractNumId w:val="16"/>
  </w:num>
  <w:num w:numId="17" w16cid:durableId="771121695">
    <w:abstractNumId w:val="0"/>
  </w:num>
  <w:num w:numId="18" w16cid:durableId="1516923265">
    <w:abstractNumId w:val="11"/>
  </w:num>
  <w:num w:numId="19" w16cid:durableId="2121290837">
    <w:abstractNumId w:val="1"/>
  </w:num>
  <w:num w:numId="20" w16cid:durableId="117602429">
    <w:abstractNumId w:val="7"/>
  </w:num>
  <w:num w:numId="21" w16cid:durableId="1371224803">
    <w:abstractNumId w:val="8"/>
  </w:num>
  <w:num w:numId="22" w16cid:durableId="491992343">
    <w:abstractNumId w:val="22"/>
  </w:num>
  <w:num w:numId="23" w16cid:durableId="1079062624">
    <w:abstractNumId w:val="20"/>
  </w:num>
  <w:num w:numId="24" w16cid:durableId="692651917">
    <w:abstractNumId w:val="18"/>
  </w:num>
  <w:num w:numId="25" w16cid:durableId="1724869366">
    <w:abstractNumId w:val="10"/>
  </w:num>
  <w:num w:numId="26" w16cid:durableId="1039937682">
    <w:abstractNumId w:val="2"/>
  </w:num>
  <w:num w:numId="27" w16cid:durableId="1146359851">
    <w:abstractNumId w:val="25"/>
  </w:num>
  <w:num w:numId="28" w16cid:durableId="10304523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FD"/>
    <w:rsid w:val="00001F2F"/>
    <w:rsid w:val="00030A9B"/>
    <w:rsid w:val="0006344F"/>
    <w:rsid w:val="000736D8"/>
    <w:rsid w:val="00074FE0"/>
    <w:rsid w:val="000D217E"/>
    <w:rsid w:val="000E14D9"/>
    <w:rsid w:val="000F1C7C"/>
    <w:rsid w:val="0011044D"/>
    <w:rsid w:val="001230FB"/>
    <w:rsid w:val="00162774"/>
    <w:rsid w:val="00173754"/>
    <w:rsid w:val="001856E5"/>
    <w:rsid w:val="001B542D"/>
    <w:rsid w:val="001D1714"/>
    <w:rsid w:val="0022689B"/>
    <w:rsid w:val="00240963"/>
    <w:rsid w:val="00246C7A"/>
    <w:rsid w:val="00283375"/>
    <w:rsid w:val="002C02F4"/>
    <w:rsid w:val="002C28FD"/>
    <w:rsid w:val="002E3AEF"/>
    <w:rsid w:val="002E4B48"/>
    <w:rsid w:val="00345DEB"/>
    <w:rsid w:val="00375A73"/>
    <w:rsid w:val="00393E2C"/>
    <w:rsid w:val="00393FC4"/>
    <w:rsid w:val="003A181A"/>
    <w:rsid w:val="004150E6"/>
    <w:rsid w:val="00427D66"/>
    <w:rsid w:val="00441815"/>
    <w:rsid w:val="00453BBD"/>
    <w:rsid w:val="00470559"/>
    <w:rsid w:val="00483477"/>
    <w:rsid w:val="004C3302"/>
    <w:rsid w:val="004C3777"/>
    <w:rsid w:val="00506782"/>
    <w:rsid w:val="00516F2C"/>
    <w:rsid w:val="00526D40"/>
    <w:rsid w:val="00561540"/>
    <w:rsid w:val="005B5B8E"/>
    <w:rsid w:val="005B7FF3"/>
    <w:rsid w:val="00607042"/>
    <w:rsid w:val="006664C1"/>
    <w:rsid w:val="006C5245"/>
    <w:rsid w:val="00702E45"/>
    <w:rsid w:val="0071257D"/>
    <w:rsid w:val="00734D49"/>
    <w:rsid w:val="00740522"/>
    <w:rsid w:val="00740619"/>
    <w:rsid w:val="007D768A"/>
    <w:rsid w:val="007E2318"/>
    <w:rsid w:val="007F663B"/>
    <w:rsid w:val="008167B1"/>
    <w:rsid w:val="00874961"/>
    <w:rsid w:val="008A520E"/>
    <w:rsid w:val="008C3984"/>
    <w:rsid w:val="008E3BA5"/>
    <w:rsid w:val="00905C37"/>
    <w:rsid w:val="00907B7D"/>
    <w:rsid w:val="00942AD2"/>
    <w:rsid w:val="00947A47"/>
    <w:rsid w:val="009562AE"/>
    <w:rsid w:val="00960C31"/>
    <w:rsid w:val="009628D0"/>
    <w:rsid w:val="009840AA"/>
    <w:rsid w:val="00A07C06"/>
    <w:rsid w:val="00A3307C"/>
    <w:rsid w:val="00A74F47"/>
    <w:rsid w:val="00A83512"/>
    <w:rsid w:val="00A90A57"/>
    <w:rsid w:val="00AA07F7"/>
    <w:rsid w:val="00B0292C"/>
    <w:rsid w:val="00B06787"/>
    <w:rsid w:val="00B24595"/>
    <w:rsid w:val="00B57629"/>
    <w:rsid w:val="00B83A68"/>
    <w:rsid w:val="00B91097"/>
    <w:rsid w:val="00BB1A96"/>
    <w:rsid w:val="00BB4F4C"/>
    <w:rsid w:val="00C03337"/>
    <w:rsid w:val="00C65295"/>
    <w:rsid w:val="00C97C3D"/>
    <w:rsid w:val="00CB2E83"/>
    <w:rsid w:val="00CE7EAD"/>
    <w:rsid w:val="00D058A5"/>
    <w:rsid w:val="00D13896"/>
    <w:rsid w:val="00D63498"/>
    <w:rsid w:val="00D74F16"/>
    <w:rsid w:val="00D76C6E"/>
    <w:rsid w:val="00D904BC"/>
    <w:rsid w:val="00DB6E2B"/>
    <w:rsid w:val="00DC599F"/>
    <w:rsid w:val="00DD7CDB"/>
    <w:rsid w:val="00DE6952"/>
    <w:rsid w:val="00E0076F"/>
    <w:rsid w:val="00E6551E"/>
    <w:rsid w:val="00E74F40"/>
    <w:rsid w:val="00ED4F98"/>
    <w:rsid w:val="00ED6B87"/>
    <w:rsid w:val="00FA5756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9085F0"/>
  <w15:chartTrackingRefBased/>
  <w15:docId w15:val="{C83DF2A2-E748-46BE-B3F8-E6210BC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8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067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7D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DB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3193-2D69-4F7F-923C-29CE75A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3662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Bartušek Karel</cp:lastModifiedBy>
  <cp:revision>14</cp:revision>
  <cp:lastPrinted>2022-06-08T06:44:00Z</cp:lastPrinted>
  <dcterms:created xsi:type="dcterms:W3CDTF">2025-01-08T14:44:00Z</dcterms:created>
  <dcterms:modified xsi:type="dcterms:W3CDTF">2025-09-02T12:25:00Z</dcterms:modified>
</cp:coreProperties>
</file>