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9EA0" w14:textId="501351F7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8936AE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1FFB3CE2" w14:textId="221DC925" w:rsidR="00ED75A6" w:rsidRPr="00ED75A6" w:rsidRDefault="00ED75A6" w:rsidP="005555C9">
      <w:p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b/>
          <w:sz w:val="24"/>
          <w:szCs w:val="24"/>
        </w:rPr>
        <w:t>zastúpený:</w:t>
      </w:r>
      <w:r w:rsidRPr="00ED75A6">
        <w:rPr>
          <w:rFonts w:ascii="Times New Roman" w:hAnsi="Times New Roman"/>
          <w:sz w:val="24"/>
          <w:szCs w:val="24"/>
        </w:rPr>
        <w:t xml:space="preserve"> </w:t>
      </w:r>
      <w:r w:rsidRPr="00ED75A6">
        <w:rPr>
          <w:rFonts w:ascii="Times New Roman" w:hAnsi="Times New Roman"/>
          <w:sz w:val="24"/>
          <w:szCs w:val="24"/>
        </w:rPr>
        <w:tab/>
      </w:r>
      <w:r w:rsidRPr="00ED75A6">
        <w:rPr>
          <w:rFonts w:ascii="Times New Roman" w:hAnsi="Times New Roman"/>
          <w:sz w:val="24"/>
          <w:szCs w:val="24"/>
        </w:rPr>
        <w:tab/>
      </w:r>
      <w:r w:rsidRPr="00ED75A6">
        <w:rPr>
          <w:rFonts w:ascii="Times New Roman" w:hAnsi="Times New Roman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311FD6C4" w14:textId="77777777" w:rsidR="00ED75A6" w:rsidRPr="00ED75A6" w:rsidRDefault="00ED75A6" w:rsidP="00ED75A6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ED75A6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Pr="00ED75A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ED75A6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D7EFAF1" w14:textId="77777777" w:rsidR="00ED75A6" w:rsidRPr="00ED75A6" w:rsidRDefault="00ED75A6" w:rsidP="00ED75A6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a</w:t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B6DABF1" w14:textId="77777777" w:rsidR="00ED75A6" w:rsidRPr="00ED75A6" w:rsidRDefault="00ED75A6" w:rsidP="00ED75A6">
      <w:pPr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Dodávateľ:</w:t>
      </w:r>
    </w:p>
    <w:p w14:paraId="396A25D3" w14:textId="7FD79E2C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Obchodné meno:</w:t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3839F16F" w14:textId="76973964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Sídlo:</w:t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21F00ABD" w14:textId="77C3DFA0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ED75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0D8BF38" w14:textId="5F339845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62C708D" w14:textId="5DC56EB9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51E6CDAE" w14:textId="3DA4AC04" w:rsidR="00ED75A6" w:rsidRPr="00ED75A6" w:rsidRDefault="00ED75A6" w:rsidP="00ED75A6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Pr="00ED7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E6D5ABD" w14:textId="4F6550AC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 xml:space="preserve">IBAN: 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43EC5EC" w14:textId="73D4F711" w:rsidR="00ED75A6" w:rsidRPr="00ED75A6" w:rsidRDefault="00ED75A6" w:rsidP="00ED75A6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573BD097" w14:textId="58DB5440" w:rsidR="00ED75A6" w:rsidRPr="00ED75A6" w:rsidRDefault="00ED75A6" w:rsidP="00ED75A6">
      <w:pPr>
        <w:spacing w:after="0"/>
        <w:ind w:left="2830" w:hanging="2830"/>
        <w:jc w:val="both"/>
        <w:rPr>
          <w:rFonts w:ascii="Times New Roman" w:hAnsi="Times New Roman"/>
          <w:spacing w:val="-3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Konajúci/zastúpený:</w:t>
      </w:r>
      <w:r w:rsidRPr="00ED7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2F4D199" w14:textId="55E992F2" w:rsidR="00ED75A6" w:rsidRPr="00ED75A6" w:rsidRDefault="00ED75A6" w:rsidP="00ED75A6">
      <w:pPr>
        <w:spacing w:after="120"/>
        <w:jc w:val="both"/>
        <w:rPr>
          <w:rFonts w:ascii="Times New Roman" w:hAnsi="Times New Roman"/>
          <w:spacing w:val="-4"/>
          <w:sz w:val="24"/>
          <w:szCs w:val="24"/>
        </w:rPr>
      </w:pPr>
      <w:r w:rsidRPr="00ED75A6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ED75A6">
        <w:rPr>
          <w:rFonts w:ascii="Times New Roman" w:hAnsi="Times New Roman"/>
          <w:b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5519842B" w14:textId="77777777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spacing w:val="-3"/>
          <w:sz w:val="24"/>
          <w:szCs w:val="24"/>
        </w:rPr>
        <w:t>(ďalej len „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ED75A6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5BB65005" w:rsidR="001D3D93" w:rsidRPr="006E3BAE" w:rsidRDefault="00F8685A" w:rsidP="00EE6D54">
      <w:pPr>
        <w:numPr>
          <w:ilvl w:val="0"/>
          <w:numId w:val="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>zákona o</w:t>
      </w:r>
      <w:r w:rsidR="00BF38A1">
        <w:rPr>
          <w:rFonts w:ascii="Times New Roman" w:hAnsi="Times New Roman"/>
          <w:sz w:val="24"/>
          <w:szCs w:val="24"/>
        </w:rPr>
        <w:t> </w:t>
      </w:r>
      <w:r w:rsidRPr="009D33F6">
        <w:rPr>
          <w:rFonts w:ascii="Times New Roman" w:hAnsi="Times New Roman"/>
          <w:sz w:val="24"/>
          <w:szCs w:val="24"/>
        </w:rPr>
        <w:t xml:space="preserve">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</w:t>
      </w:r>
      <w:r w:rsidR="00BF38A1">
        <w:rPr>
          <w:rFonts w:ascii="Times New Roman" w:hAnsi="Times New Roman"/>
          <w:i/>
          <w:sz w:val="24"/>
          <w:szCs w:val="24"/>
        </w:rPr>
        <w:t> </w:t>
      </w:r>
      <w:r w:rsidR="009176AE" w:rsidRPr="00B8119E">
        <w:rPr>
          <w:rFonts w:ascii="Times New Roman" w:hAnsi="Times New Roman"/>
          <w:i/>
          <w:sz w:val="24"/>
          <w:szCs w:val="24"/>
        </w:rPr>
        <w:t>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EE6D54" w:rsidRPr="00EE6D54">
        <w:rPr>
          <w:rFonts w:ascii="Times New Roman" w:hAnsi="Times New Roman"/>
          <w:bCs/>
          <w:i/>
          <w:noProof/>
          <w:sz w:val="24"/>
          <w:szCs w:val="24"/>
        </w:rPr>
        <w:t>Podpora licencií na zabezpečenie prevádzky informačného systému pre správu registratúry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>“- výzva na predkladanie ponúk č</w:t>
      </w:r>
      <w:r w:rsidR="0079080B" w:rsidRPr="0063366D">
        <w:rPr>
          <w:rFonts w:ascii="Times New Roman" w:hAnsi="Times New Roman"/>
          <w:bCs/>
          <w:i/>
          <w:noProof/>
          <w:sz w:val="24"/>
          <w:szCs w:val="24"/>
        </w:rPr>
        <w:t xml:space="preserve">. </w:t>
      </w:r>
      <w:r w:rsidR="0063366D">
        <w:rPr>
          <w:rFonts w:ascii="Times New Roman" w:hAnsi="Times New Roman"/>
          <w:bCs/>
          <w:i/>
          <w:noProof/>
          <w:sz w:val="24"/>
          <w:szCs w:val="24"/>
        </w:rPr>
        <w:t>49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3E376D">
        <w:rPr>
          <w:rFonts w:ascii="Times New Roman" w:hAnsi="Times New Roman"/>
          <w:bCs/>
          <w:noProof/>
        </w:rPr>
        <w:t xml:space="preserve"> </w:t>
      </w:r>
      <w:r w:rsidR="003E376D" w:rsidRPr="00BD6885">
        <w:rPr>
          <w:rFonts w:ascii="Times New Roman" w:hAnsi="Times New Roman"/>
          <w:bCs/>
          <w:noProof/>
        </w:rPr>
        <w:t>250</w:t>
      </w:r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3E376D">
        <w:rPr>
          <w:rFonts w:ascii="Times New Roman" w:hAnsi="Times New Roman"/>
          <w:sz w:val="24"/>
          <w:szCs w:val="24"/>
        </w:rPr>
        <w:t>02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3E376D">
        <w:rPr>
          <w:rFonts w:ascii="Times New Roman" w:hAnsi="Times New Roman"/>
          <w:sz w:val="24"/>
          <w:szCs w:val="24"/>
        </w:rPr>
        <w:t>11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496F0E">
        <w:rPr>
          <w:rFonts w:ascii="Times New Roman" w:hAnsi="Times New Roman"/>
          <w:bCs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466DA408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</w:t>
      </w:r>
      <w:r w:rsidR="008F7EC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aj</w:t>
      </w:r>
      <w:r w:rsidR="008F7EC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</w:t>
      </w:r>
      <w:r w:rsidR="008F7EC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na</w:t>
      </w:r>
      <w:r w:rsidR="008F7EC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228E3B72" w14:textId="103E49DF" w:rsidR="00501308" w:rsidRDefault="00501308" w:rsidP="0050130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737DF5">
        <w:rPr>
          <w:rFonts w:ascii="Times New Roman" w:hAnsi="Times New Roman"/>
          <w:i/>
          <w:color w:val="FF0000"/>
          <w:sz w:val="24"/>
          <w:szCs w:val="24"/>
        </w:rPr>
        <w:t>Dodá</w:t>
      </w:r>
      <w:r>
        <w:rPr>
          <w:rFonts w:ascii="Times New Roman" w:hAnsi="Times New Roman"/>
          <w:i/>
          <w:color w:val="FF0000"/>
          <w:sz w:val="24"/>
          <w:szCs w:val="24"/>
        </w:rPr>
        <w:t>vateľovi známi subdodávatelia, ktorých bude využívať pri plnení Zmluvy, bude uvedené:</w:t>
      </w:r>
    </w:p>
    <w:p w14:paraId="458B5902" w14:textId="1067C8C8" w:rsidR="00501308" w:rsidRDefault="00737DF5" w:rsidP="00501308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</w:t>
      </w:r>
      <w:r w:rsidR="00501308">
        <w:rPr>
          <w:rFonts w:ascii="Times New Roman" w:eastAsia="Times New Roman" w:hAnsi="Times New Roman"/>
          <w:sz w:val="24"/>
          <w:szCs w:val="24"/>
          <w:lang w:eastAsia="sk-SK"/>
        </w:rPr>
        <w:t>vateľ vyhlasuje, že ku dňu uzavretia Zmluvy sú mu známi nasledovní subdodávatelia, ktorí sa budú podieľať na plnení predmetu Zmluvy:</w:t>
      </w:r>
    </w:p>
    <w:p w14:paraId="0DE27E57" w14:textId="77777777" w:rsidR="00501308" w:rsidRDefault="00501308" w:rsidP="00501308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45159690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683DECAD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2AAD84F0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5DD1A7BA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4F1C81C8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13ABAF20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3C6A0D75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B930923" w14:textId="77777777" w:rsidR="00501308" w:rsidRDefault="00501308" w:rsidP="00501308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2D25011" w14:textId="07D685DA" w:rsidR="00501308" w:rsidRDefault="00501308" w:rsidP="00501308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737DF5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vateľ žiadnych subdodávateľov, ktorých bude využívať pri plnení Zmluvy, bude uvedené:</w:t>
      </w:r>
    </w:p>
    <w:p w14:paraId="3956798A" w14:textId="45FFF948" w:rsidR="00501308" w:rsidRDefault="00737DF5" w:rsidP="00501308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</w:t>
      </w:r>
      <w:r w:rsidR="00501308">
        <w:rPr>
          <w:rFonts w:ascii="Times New Roman" w:eastAsia="Times New Roman" w:hAnsi="Times New Roman"/>
          <w:sz w:val="24"/>
          <w:szCs w:val="24"/>
          <w:lang w:eastAsia="sk-SK"/>
        </w:rPr>
        <w:t>vateľ vyhlasuje, že ku dňu uzavretia Zmluvy nezadáva žiadnu časť plnenia podľa Zmluvy žiadnemu subdodávateľovi.</w:t>
      </w:r>
    </w:p>
    <w:p w14:paraId="36492252" w14:textId="45B3ECBF" w:rsidR="00B90763" w:rsidRPr="00214C1F" w:rsidRDefault="00B90763" w:rsidP="0050130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E73D0" w14:textId="3CC9684A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a</w:t>
      </w:r>
      <w:r w:rsidR="008F7EC9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to</w:t>
      </w:r>
      <w:r w:rsidR="008F7EC9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8F7EC9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>Zmenu údajov je</w:t>
      </w:r>
      <w:r w:rsidR="008F7EC9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594703D2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</w:t>
      </w:r>
      <w:r w:rsidR="0019726D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</w:t>
      </w:r>
      <w:r w:rsidR="0019726D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</w:t>
      </w:r>
      <w:r w:rsidR="0019726D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subdodávateľa v rozsahu meno a priezvisko, adresa pobytu, dátum narodenia.</w:t>
      </w:r>
    </w:p>
    <w:p w14:paraId="0193C087" w14:textId="3CAA3FCA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</w:t>
      </w:r>
      <w:r w:rsidR="008F7EC9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355121D1" w:rsidR="00DD6E2D" w:rsidRPr="00BF38A1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F38A1">
        <w:rPr>
          <w:rFonts w:ascii="Times New Roman" w:hAnsi="Times New Roman"/>
          <w:sz w:val="24"/>
          <w:szCs w:val="24"/>
        </w:rPr>
        <w:t>Dodávateľ</w:t>
      </w:r>
      <w:r w:rsidR="001863BC" w:rsidRPr="00BF38A1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 w:rsidRPr="00BF38A1">
        <w:rPr>
          <w:rFonts w:ascii="Times New Roman" w:hAnsi="Times New Roman"/>
          <w:sz w:val="24"/>
          <w:szCs w:val="24"/>
        </w:rPr>
        <w:t>dodania</w:t>
      </w:r>
      <w:r w:rsidR="001863BC" w:rsidRPr="00BF38A1">
        <w:rPr>
          <w:rFonts w:ascii="Times New Roman" w:hAnsi="Times New Roman"/>
          <w:sz w:val="24"/>
          <w:szCs w:val="24"/>
        </w:rPr>
        <w:t xml:space="preserve"> uvedený v bode 2.3 </w:t>
      </w:r>
      <w:r w:rsidR="00805506" w:rsidRPr="00BF38A1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BF38A1">
        <w:rPr>
          <w:rFonts w:ascii="Times New Roman" w:hAnsi="Times New Roman"/>
          <w:sz w:val="24"/>
          <w:szCs w:val="24"/>
        </w:rPr>
        <w:t xml:space="preserve">a umožniť </w:t>
      </w:r>
      <w:r w:rsidRPr="00BF38A1">
        <w:rPr>
          <w:rFonts w:ascii="Times New Roman" w:hAnsi="Times New Roman"/>
          <w:sz w:val="24"/>
          <w:szCs w:val="24"/>
        </w:rPr>
        <w:t>Objednávateľovi</w:t>
      </w:r>
      <w:r w:rsidR="00ED32EE" w:rsidRPr="00BF38A1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BF38A1">
        <w:rPr>
          <w:rFonts w:ascii="Times New Roman" w:hAnsi="Times New Roman"/>
          <w:sz w:val="24"/>
          <w:szCs w:val="24"/>
        </w:rPr>
        <w:t>Tovar</w:t>
      </w:r>
      <w:r w:rsidR="00ED32EE" w:rsidRPr="00BF38A1">
        <w:rPr>
          <w:rFonts w:ascii="Times New Roman" w:hAnsi="Times New Roman"/>
          <w:sz w:val="24"/>
          <w:szCs w:val="24"/>
        </w:rPr>
        <w:t xml:space="preserve"> po dobu stanovenú v</w:t>
      </w:r>
      <w:r w:rsidR="008F7EC9">
        <w:rPr>
          <w:rFonts w:ascii="Times New Roman" w:hAnsi="Times New Roman"/>
          <w:sz w:val="24"/>
          <w:szCs w:val="24"/>
        </w:rPr>
        <w:t> </w:t>
      </w:r>
      <w:r w:rsidR="00965767" w:rsidRPr="00BF38A1">
        <w:rPr>
          <w:rFonts w:ascii="Times New Roman" w:hAnsi="Times New Roman"/>
          <w:sz w:val="24"/>
          <w:szCs w:val="24"/>
        </w:rPr>
        <w:t>prílohe</w:t>
      </w:r>
      <w:r w:rsidR="0084401F" w:rsidRPr="00BF38A1">
        <w:rPr>
          <w:rFonts w:ascii="Times New Roman" w:hAnsi="Times New Roman"/>
          <w:sz w:val="24"/>
          <w:szCs w:val="24"/>
        </w:rPr>
        <w:t> </w:t>
      </w:r>
      <w:r w:rsidR="00965767" w:rsidRPr="00BF38A1">
        <w:rPr>
          <w:rFonts w:ascii="Times New Roman" w:hAnsi="Times New Roman"/>
          <w:sz w:val="24"/>
          <w:szCs w:val="24"/>
        </w:rPr>
        <w:t>„</w:t>
      </w:r>
      <w:r w:rsidR="007F5702" w:rsidRPr="00BF38A1">
        <w:rPr>
          <w:rFonts w:ascii="Times New Roman" w:hAnsi="Times New Roman"/>
          <w:sz w:val="24"/>
          <w:szCs w:val="24"/>
        </w:rPr>
        <w:t>Š</w:t>
      </w:r>
      <w:r w:rsidR="00965767" w:rsidRPr="00BF38A1">
        <w:rPr>
          <w:rFonts w:ascii="Times New Roman" w:hAnsi="Times New Roman"/>
          <w:sz w:val="24"/>
          <w:szCs w:val="24"/>
        </w:rPr>
        <w:t>pecifikácia Tovaru a cenník“ (ďalej len „Príloha“)</w:t>
      </w:r>
      <w:r w:rsidR="00ED32EE" w:rsidRPr="00BF38A1">
        <w:rPr>
          <w:rFonts w:ascii="Times New Roman" w:hAnsi="Times New Roman"/>
          <w:sz w:val="24"/>
          <w:szCs w:val="24"/>
        </w:rPr>
        <w:t>.</w:t>
      </w:r>
    </w:p>
    <w:p w14:paraId="71C57441" w14:textId="53476DE6" w:rsidR="00A72B02" w:rsidRPr="00BF38A1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F38A1">
        <w:rPr>
          <w:rFonts w:ascii="Times New Roman" w:hAnsi="Times New Roman"/>
          <w:sz w:val="24"/>
          <w:szCs w:val="24"/>
        </w:rPr>
        <w:t>Objednávateľ</w:t>
      </w:r>
      <w:r w:rsidR="00A72B02" w:rsidRPr="00BF38A1">
        <w:rPr>
          <w:rFonts w:ascii="Times New Roman" w:hAnsi="Times New Roman"/>
          <w:sz w:val="24"/>
          <w:szCs w:val="24"/>
        </w:rPr>
        <w:t xml:space="preserve"> sa zaväzuje</w:t>
      </w:r>
      <w:r w:rsidR="00B733C9" w:rsidRPr="00BF38A1">
        <w:rPr>
          <w:rFonts w:ascii="Times New Roman" w:hAnsi="Times New Roman"/>
          <w:sz w:val="24"/>
          <w:szCs w:val="24"/>
        </w:rPr>
        <w:t xml:space="preserve"> </w:t>
      </w:r>
      <w:r w:rsidR="00A72B02" w:rsidRPr="00BF38A1">
        <w:rPr>
          <w:rFonts w:ascii="Times New Roman" w:hAnsi="Times New Roman"/>
          <w:sz w:val="24"/>
          <w:szCs w:val="24"/>
        </w:rPr>
        <w:t>objednan</w:t>
      </w:r>
      <w:r w:rsidR="0087323F" w:rsidRPr="00BF38A1">
        <w:rPr>
          <w:rFonts w:ascii="Times New Roman" w:hAnsi="Times New Roman"/>
          <w:sz w:val="24"/>
          <w:szCs w:val="24"/>
        </w:rPr>
        <w:t>ý</w:t>
      </w:r>
      <w:r w:rsidR="00A72B02" w:rsidRPr="00BF38A1">
        <w:rPr>
          <w:rFonts w:ascii="Times New Roman" w:hAnsi="Times New Roman"/>
          <w:sz w:val="24"/>
          <w:szCs w:val="24"/>
        </w:rPr>
        <w:t>,</w:t>
      </w:r>
      <w:r w:rsidR="00561498" w:rsidRPr="00BF38A1">
        <w:rPr>
          <w:rFonts w:ascii="Times New Roman" w:hAnsi="Times New Roman"/>
          <w:sz w:val="24"/>
          <w:szCs w:val="24"/>
        </w:rPr>
        <w:t xml:space="preserve"> riadne</w:t>
      </w:r>
      <w:r w:rsidR="002F62C6" w:rsidRPr="00BF38A1">
        <w:rPr>
          <w:rFonts w:ascii="Times New Roman" w:hAnsi="Times New Roman"/>
          <w:sz w:val="24"/>
          <w:szCs w:val="24"/>
        </w:rPr>
        <w:t xml:space="preserve"> a</w:t>
      </w:r>
      <w:r w:rsidR="0087323F" w:rsidRPr="00BF38A1">
        <w:rPr>
          <w:rFonts w:ascii="Times New Roman" w:hAnsi="Times New Roman"/>
          <w:sz w:val="24"/>
          <w:szCs w:val="24"/>
        </w:rPr>
        <w:t xml:space="preserve"> </w:t>
      </w:r>
      <w:r w:rsidR="00F131E1" w:rsidRPr="00BF38A1">
        <w:rPr>
          <w:rFonts w:ascii="Times New Roman" w:hAnsi="Times New Roman"/>
          <w:sz w:val="24"/>
          <w:szCs w:val="24"/>
        </w:rPr>
        <w:t>včas</w:t>
      </w:r>
      <w:r w:rsidR="00A72B02" w:rsidRPr="00BF38A1">
        <w:rPr>
          <w:rFonts w:ascii="Times New Roman" w:hAnsi="Times New Roman"/>
          <w:sz w:val="24"/>
          <w:szCs w:val="24"/>
        </w:rPr>
        <w:t xml:space="preserve"> </w:t>
      </w:r>
      <w:r w:rsidR="0087323F" w:rsidRPr="00BF38A1">
        <w:rPr>
          <w:rFonts w:ascii="Times New Roman" w:hAnsi="Times New Roman"/>
          <w:sz w:val="24"/>
          <w:szCs w:val="24"/>
        </w:rPr>
        <w:t xml:space="preserve">dodaný </w:t>
      </w:r>
      <w:r w:rsidR="00805506" w:rsidRPr="00BF38A1">
        <w:rPr>
          <w:rFonts w:ascii="Times New Roman" w:hAnsi="Times New Roman"/>
          <w:sz w:val="24"/>
          <w:szCs w:val="24"/>
        </w:rPr>
        <w:t>T</w:t>
      </w:r>
      <w:r w:rsidR="0087323F" w:rsidRPr="00BF38A1">
        <w:rPr>
          <w:rFonts w:ascii="Times New Roman" w:hAnsi="Times New Roman"/>
          <w:sz w:val="24"/>
          <w:szCs w:val="24"/>
        </w:rPr>
        <w:t>ovar</w:t>
      </w:r>
      <w:r w:rsidR="0074760B" w:rsidRPr="00BF38A1">
        <w:rPr>
          <w:rFonts w:ascii="Times New Roman" w:hAnsi="Times New Roman"/>
          <w:sz w:val="24"/>
          <w:szCs w:val="24"/>
        </w:rPr>
        <w:t xml:space="preserve"> prevziať v súlade </w:t>
      </w:r>
      <w:r w:rsidR="00240D2A" w:rsidRPr="00BF38A1">
        <w:rPr>
          <w:rFonts w:ascii="Times New Roman" w:hAnsi="Times New Roman"/>
          <w:sz w:val="24"/>
          <w:szCs w:val="24"/>
        </w:rPr>
        <w:t>so </w:t>
      </w:r>
      <w:r w:rsidR="00851F7D" w:rsidRPr="00BF38A1">
        <w:rPr>
          <w:rFonts w:ascii="Times New Roman" w:hAnsi="Times New Roman"/>
          <w:sz w:val="24"/>
          <w:szCs w:val="24"/>
        </w:rPr>
        <w:t>Zmluvou</w:t>
      </w:r>
      <w:r w:rsidR="00A72B02" w:rsidRPr="00BF38A1">
        <w:rPr>
          <w:rFonts w:ascii="Times New Roman" w:hAnsi="Times New Roman"/>
          <w:sz w:val="24"/>
          <w:szCs w:val="24"/>
        </w:rPr>
        <w:t xml:space="preserve"> </w:t>
      </w:r>
      <w:r w:rsidR="00561498" w:rsidRPr="00BF38A1">
        <w:rPr>
          <w:rFonts w:ascii="Times New Roman" w:hAnsi="Times New Roman"/>
          <w:sz w:val="24"/>
          <w:szCs w:val="24"/>
        </w:rPr>
        <w:t>a</w:t>
      </w:r>
      <w:r w:rsidR="0074760B" w:rsidRPr="00BF38A1">
        <w:rPr>
          <w:rFonts w:ascii="Times New Roman" w:hAnsi="Times New Roman"/>
          <w:sz w:val="24"/>
          <w:szCs w:val="24"/>
        </w:rPr>
        <w:t xml:space="preserve"> za </w:t>
      </w:r>
      <w:r w:rsidR="00561498" w:rsidRPr="00BF38A1">
        <w:rPr>
          <w:rFonts w:ascii="Times New Roman" w:hAnsi="Times New Roman"/>
          <w:sz w:val="24"/>
          <w:szCs w:val="24"/>
        </w:rPr>
        <w:t>pre</w:t>
      </w:r>
      <w:r w:rsidR="0074760B" w:rsidRPr="00BF38A1">
        <w:rPr>
          <w:rFonts w:ascii="Times New Roman" w:hAnsi="Times New Roman"/>
          <w:sz w:val="24"/>
          <w:szCs w:val="24"/>
        </w:rPr>
        <w:t>vza</w:t>
      </w:r>
      <w:r w:rsidR="000117F2" w:rsidRPr="00BF38A1">
        <w:rPr>
          <w:rFonts w:ascii="Times New Roman" w:hAnsi="Times New Roman"/>
          <w:sz w:val="24"/>
          <w:szCs w:val="24"/>
        </w:rPr>
        <w:t xml:space="preserve">tý </w:t>
      </w:r>
      <w:r w:rsidR="00805506" w:rsidRPr="00BF38A1">
        <w:rPr>
          <w:rFonts w:ascii="Times New Roman" w:hAnsi="Times New Roman"/>
          <w:sz w:val="24"/>
          <w:szCs w:val="24"/>
        </w:rPr>
        <w:t>T</w:t>
      </w:r>
      <w:r w:rsidR="000117F2" w:rsidRPr="00BF38A1">
        <w:rPr>
          <w:rFonts w:ascii="Times New Roman" w:hAnsi="Times New Roman"/>
          <w:sz w:val="24"/>
          <w:szCs w:val="24"/>
        </w:rPr>
        <w:t>ovar</w:t>
      </w:r>
      <w:r w:rsidR="00A72B02" w:rsidRPr="00BF38A1">
        <w:rPr>
          <w:rFonts w:ascii="Times New Roman" w:hAnsi="Times New Roman"/>
          <w:sz w:val="24"/>
          <w:szCs w:val="24"/>
        </w:rPr>
        <w:t xml:space="preserve"> zaplatiť </w:t>
      </w:r>
      <w:r w:rsidRPr="00BF38A1">
        <w:rPr>
          <w:rFonts w:ascii="Times New Roman" w:hAnsi="Times New Roman"/>
          <w:sz w:val="24"/>
          <w:szCs w:val="24"/>
        </w:rPr>
        <w:t>Dodávateľovi</w:t>
      </w:r>
      <w:r w:rsidR="0074760B" w:rsidRPr="00BF38A1">
        <w:rPr>
          <w:rFonts w:ascii="Times New Roman" w:hAnsi="Times New Roman"/>
          <w:sz w:val="24"/>
          <w:szCs w:val="24"/>
        </w:rPr>
        <w:t xml:space="preserve"> </w:t>
      </w:r>
      <w:r w:rsidR="00A72B02" w:rsidRPr="00BF38A1">
        <w:rPr>
          <w:rFonts w:ascii="Times New Roman" w:hAnsi="Times New Roman"/>
          <w:sz w:val="24"/>
          <w:szCs w:val="24"/>
        </w:rPr>
        <w:t>cenu</w:t>
      </w:r>
      <w:r w:rsidR="008D35F2" w:rsidRPr="00BF38A1">
        <w:rPr>
          <w:rFonts w:ascii="Times New Roman" w:hAnsi="Times New Roman"/>
          <w:sz w:val="24"/>
          <w:szCs w:val="24"/>
        </w:rPr>
        <w:t xml:space="preserve"> podľa </w:t>
      </w:r>
      <w:r w:rsidR="00805506" w:rsidRPr="00BF38A1">
        <w:rPr>
          <w:rFonts w:ascii="Times New Roman" w:hAnsi="Times New Roman"/>
          <w:sz w:val="24"/>
          <w:szCs w:val="24"/>
        </w:rPr>
        <w:t>čl</w:t>
      </w:r>
      <w:r w:rsidR="004147CF" w:rsidRPr="00BF38A1">
        <w:rPr>
          <w:rFonts w:ascii="Times New Roman" w:hAnsi="Times New Roman"/>
          <w:sz w:val="24"/>
          <w:szCs w:val="24"/>
        </w:rPr>
        <w:t>ánku</w:t>
      </w:r>
      <w:r w:rsidR="00805506" w:rsidRPr="00BF38A1">
        <w:rPr>
          <w:rFonts w:ascii="Times New Roman" w:hAnsi="Times New Roman"/>
          <w:sz w:val="24"/>
          <w:szCs w:val="24"/>
        </w:rPr>
        <w:t xml:space="preserve"> 4 a</w:t>
      </w:r>
      <w:r w:rsidR="008F7EC9">
        <w:rPr>
          <w:rFonts w:ascii="Times New Roman" w:hAnsi="Times New Roman"/>
          <w:sz w:val="24"/>
          <w:szCs w:val="24"/>
        </w:rPr>
        <w:t> </w:t>
      </w:r>
      <w:r w:rsidR="00805506" w:rsidRPr="00BF38A1">
        <w:rPr>
          <w:rFonts w:ascii="Times New Roman" w:hAnsi="Times New Roman"/>
          <w:sz w:val="24"/>
          <w:szCs w:val="24"/>
        </w:rPr>
        <w:t>za</w:t>
      </w:r>
      <w:r w:rsidR="008F7EC9">
        <w:rPr>
          <w:rFonts w:ascii="Times New Roman" w:hAnsi="Times New Roman"/>
          <w:sz w:val="24"/>
          <w:szCs w:val="24"/>
        </w:rPr>
        <w:t> </w:t>
      </w:r>
      <w:r w:rsidR="00805506" w:rsidRPr="00BF38A1">
        <w:rPr>
          <w:rFonts w:ascii="Times New Roman" w:hAnsi="Times New Roman"/>
          <w:sz w:val="24"/>
          <w:szCs w:val="24"/>
        </w:rPr>
        <w:t>podmienok uvedených v článku</w:t>
      </w:r>
      <w:r w:rsidR="00A72B02" w:rsidRPr="00BF38A1">
        <w:rPr>
          <w:rFonts w:ascii="Times New Roman" w:hAnsi="Times New Roman"/>
          <w:sz w:val="24"/>
          <w:szCs w:val="24"/>
        </w:rPr>
        <w:t xml:space="preserve"> </w:t>
      </w:r>
      <w:r w:rsidR="0003128F" w:rsidRPr="00BF38A1">
        <w:rPr>
          <w:rFonts w:ascii="Times New Roman" w:hAnsi="Times New Roman"/>
          <w:sz w:val="24"/>
          <w:szCs w:val="24"/>
        </w:rPr>
        <w:t>5</w:t>
      </w:r>
      <w:r w:rsidR="00A72B02" w:rsidRPr="00BF38A1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74A6DAB0" w:rsidR="002F62C6" w:rsidRPr="00BF38A1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F38A1">
        <w:rPr>
          <w:rFonts w:ascii="Times New Roman" w:hAnsi="Times New Roman"/>
          <w:sz w:val="24"/>
          <w:szCs w:val="24"/>
        </w:rPr>
        <w:t xml:space="preserve">Predmetom </w:t>
      </w:r>
      <w:r w:rsidR="008D35F2" w:rsidRPr="00BF38A1">
        <w:rPr>
          <w:rFonts w:ascii="Times New Roman" w:hAnsi="Times New Roman"/>
          <w:sz w:val="24"/>
          <w:szCs w:val="24"/>
        </w:rPr>
        <w:t>dodania</w:t>
      </w:r>
      <w:r w:rsidRPr="00BF38A1">
        <w:rPr>
          <w:rFonts w:ascii="Times New Roman" w:hAnsi="Times New Roman"/>
          <w:sz w:val="24"/>
          <w:szCs w:val="24"/>
        </w:rPr>
        <w:t xml:space="preserve"> (</w:t>
      </w:r>
      <w:r w:rsidR="005076A1" w:rsidRPr="00BF38A1">
        <w:rPr>
          <w:rFonts w:ascii="Times New Roman" w:hAnsi="Times New Roman"/>
          <w:sz w:val="24"/>
          <w:szCs w:val="24"/>
        </w:rPr>
        <w:t>T</w:t>
      </w:r>
      <w:r w:rsidRPr="00BF38A1">
        <w:rPr>
          <w:rFonts w:ascii="Times New Roman" w:hAnsi="Times New Roman"/>
          <w:sz w:val="24"/>
          <w:szCs w:val="24"/>
        </w:rPr>
        <w:t xml:space="preserve">ovar) </w:t>
      </w:r>
      <w:r w:rsidR="00355E34" w:rsidRPr="00BF38A1">
        <w:rPr>
          <w:rFonts w:ascii="Times New Roman" w:hAnsi="Times New Roman"/>
          <w:sz w:val="24"/>
          <w:szCs w:val="24"/>
        </w:rPr>
        <w:t xml:space="preserve">je podpora licencií na zabezpečenie prevádzky informačného systému pre správu registratúry </w:t>
      </w:r>
      <w:r w:rsidR="007D090B" w:rsidRPr="00BF38A1">
        <w:rPr>
          <w:rFonts w:ascii="Times New Roman" w:hAnsi="Times New Roman"/>
          <w:sz w:val="24"/>
          <w:szCs w:val="24"/>
        </w:rPr>
        <w:t>uvedená</w:t>
      </w:r>
      <w:r w:rsidR="00ED32EE" w:rsidRPr="00BF38A1">
        <w:rPr>
          <w:rFonts w:ascii="Times New Roman" w:hAnsi="Times New Roman"/>
          <w:sz w:val="24"/>
          <w:szCs w:val="24"/>
        </w:rPr>
        <w:t xml:space="preserve"> v </w:t>
      </w:r>
      <w:r w:rsidR="00965767" w:rsidRPr="00BF38A1">
        <w:rPr>
          <w:rFonts w:ascii="Times New Roman" w:hAnsi="Times New Roman"/>
          <w:sz w:val="24"/>
          <w:szCs w:val="24"/>
        </w:rPr>
        <w:t>Prílohe</w:t>
      </w:r>
      <w:r w:rsidR="007B6F92" w:rsidRPr="00BF38A1">
        <w:rPr>
          <w:rFonts w:ascii="Times New Roman" w:hAnsi="Times New Roman"/>
          <w:sz w:val="24"/>
          <w:szCs w:val="24"/>
        </w:rPr>
        <w:t xml:space="preserve"> (ďalej len „</w:t>
      </w:r>
      <w:r w:rsidR="008F7EC9">
        <w:rPr>
          <w:rFonts w:ascii="Times New Roman" w:hAnsi="Times New Roman"/>
          <w:sz w:val="24"/>
          <w:szCs w:val="24"/>
        </w:rPr>
        <w:t>Podpora</w:t>
      </w:r>
      <w:r w:rsidR="007B6F92" w:rsidRPr="00BF38A1">
        <w:rPr>
          <w:rFonts w:ascii="Times New Roman" w:hAnsi="Times New Roman"/>
          <w:sz w:val="24"/>
          <w:szCs w:val="24"/>
        </w:rPr>
        <w:t>“)</w:t>
      </w:r>
      <w:r w:rsidR="003955FD" w:rsidRPr="00BF38A1">
        <w:rPr>
          <w:rFonts w:ascii="Times New Roman" w:hAnsi="Times New Roman"/>
          <w:sz w:val="24"/>
          <w:szCs w:val="24"/>
        </w:rPr>
        <w:t>, ktor</w:t>
      </w:r>
      <w:r w:rsidR="008F7EC9">
        <w:rPr>
          <w:rFonts w:ascii="Times New Roman" w:hAnsi="Times New Roman"/>
          <w:sz w:val="24"/>
          <w:szCs w:val="24"/>
        </w:rPr>
        <w:t>á</w:t>
      </w:r>
      <w:r w:rsidR="003955FD" w:rsidRPr="00BF38A1">
        <w:rPr>
          <w:rFonts w:ascii="Times New Roman" w:hAnsi="Times New Roman"/>
          <w:sz w:val="24"/>
          <w:szCs w:val="24"/>
        </w:rPr>
        <w:t xml:space="preserve"> </w:t>
      </w:r>
      <w:r w:rsidR="00323A67" w:rsidRPr="00BF38A1">
        <w:rPr>
          <w:rFonts w:ascii="Times New Roman" w:hAnsi="Times New Roman"/>
          <w:sz w:val="24"/>
          <w:szCs w:val="24"/>
        </w:rPr>
        <w:t>umožňuj</w:t>
      </w:r>
      <w:r w:rsidR="008F7EC9">
        <w:rPr>
          <w:rFonts w:ascii="Times New Roman" w:hAnsi="Times New Roman"/>
          <w:sz w:val="24"/>
          <w:szCs w:val="24"/>
        </w:rPr>
        <w:t>e</w:t>
      </w:r>
      <w:r w:rsidR="003955FD" w:rsidRPr="00BF38A1">
        <w:rPr>
          <w:rFonts w:ascii="Times New Roman" w:hAnsi="Times New Roman"/>
          <w:sz w:val="24"/>
          <w:szCs w:val="24"/>
        </w:rPr>
        <w:t xml:space="preserve"> </w:t>
      </w:r>
      <w:r w:rsidR="00483753" w:rsidRPr="00BF38A1">
        <w:rPr>
          <w:rFonts w:ascii="Times New Roman" w:hAnsi="Times New Roman"/>
          <w:sz w:val="24"/>
          <w:szCs w:val="24"/>
        </w:rPr>
        <w:t>Objednávateľovi</w:t>
      </w:r>
      <w:r w:rsidR="003955FD" w:rsidRPr="00BF38A1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BF38A1">
        <w:rPr>
          <w:rFonts w:ascii="Times New Roman" w:hAnsi="Times New Roman"/>
          <w:sz w:val="24"/>
          <w:szCs w:val="24"/>
        </w:rPr>
        <w:t>softvérové produkty alebo systémy na</w:t>
      </w:r>
      <w:r w:rsidR="008F7EC9">
        <w:rPr>
          <w:rFonts w:ascii="Times New Roman" w:hAnsi="Times New Roman"/>
          <w:sz w:val="24"/>
          <w:szCs w:val="24"/>
        </w:rPr>
        <w:t> </w:t>
      </w:r>
      <w:r w:rsidR="00323A67" w:rsidRPr="00BF38A1">
        <w:rPr>
          <w:rFonts w:ascii="Times New Roman" w:hAnsi="Times New Roman"/>
          <w:sz w:val="24"/>
          <w:szCs w:val="24"/>
        </w:rPr>
        <w:t xml:space="preserve">zariadeniach </w:t>
      </w:r>
      <w:r w:rsidR="003955FD" w:rsidRPr="00BF38A1">
        <w:rPr>
          <w:rFonts w:ascii="Times New Roman" w:hAnsi="Times New Roman"/>
          <w:sz w:val="24"/>
          <w:szCs w:val="24"/>
        </w:rPr>
        <w:t>na území Slovenskej republiky</w:t>
      </w:r>
      <w:r w:rsidR="007F5702" w:rsidRPr="00BF38A1">
        <w:rPr>
          <w:rFonts w:ascii="Times New Roman" w:hAnsi="Times New Roman"/>
          <w:sz w:val="24"/>
          <w:szCs w:val="24"/>
        </w:rPr>
        <w:t xml:space="preserve"> a</w:t>
      </w:r>
      <w:r w:rsidR="007F5702" w:rsidRPr="00BF38A1">
        <w:rPr>
          <w:rFonts w:eastAsia="Times New Roman"/>
          <w:sz w:val="24"/>
          <w:szCs w:val="24"/>
          <w:lang w:eastAsia="cs-CZ"/>
        </w:rPr>
        <w:t xml:space="preserve"> </w:t>
      </w:r>
      <w:r w:rsidR="007F5702" w:rsidRPr="00BF38A1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 w:rsidRPr="00BF38A1">
        <w:rPr>
          <w:rFonts w:ascii="Times New Roman" w:hAnsi="Times New Roman"/>
          <w:sz w:val="24"/>
          <w:szCs w:val="24"/>
        </w:rPr>
        <w:t>Objednávateľa</w:t>
      </w:r>
      <w:r w:rsidR="007F5702" w:rsidRPr="00BF38A1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BF38A1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29259DA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</w:t>
      </w:r>
      <w:r w:rsidR="008F7EC9">
        <w:rPr>
          <w:rFonts w:ascii="Times New Roman" w:hAnsi="Times New Roman"/>
          <w:sz w:val="24"/>
          <w:szCs w:val="24"/>
        </w:rPr>
        <w:t> </w:t>
      </w:r>
      <w:r w:rsidRPr="00FF5968">
        <w:rPr>
          <w:rFonts w:ascii="Times New Roman" w:hAnsi="Times New Roman"/>
          <w:sz w:val="24"/>
          <w:szCs w:val="24"/>
        </w:rPr>
        <w:t xml:space="preserve">rozsahu telefónneho čísla a e-mailovej adresy. Zmluvné strany môžu kedykoľvek </w:t>
      </w:r>
      <w:r w:rsidRPr="00FF5968">
        <w:rPr>
          <w:rFonts w:ascii="Times New Roman" w:hAnsi="Times New Roman"/>
          <w:sz w:val="24"/>
          <w:szCs w:val="24"/>
        </w:rPr>
        <w:lastRenderedPageBreak/>
        <w:t xml:space="preserve">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6F6055D3" w14:textId="328881F0" w:rsidR="000D5D0B" w:rsidRPr="00FF5968" w:rsidRDefault="000D5D0B" w:rsidP="000D5D0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Objednávateľ:</w:t>
      </w:r>
    </w:p>
    <w:p w14:paraId="5DC97B82" w14:textId="0A2A1EBC" w:rsidR="000D5D0B" w:rsidRDefault="000D5D0B" w:rsidP="000D5D0B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Pr="00FF5968">
        <w:rPr>
          <w:rFonts w:ascii="Times New Roman" w:hAnsi="Times New Roman"/>
          <w:sz w:val="24"/>
          <w:szCs w:val="24"/>
        </w:rPr>
        <w:t>: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63A9DCF4" w:rsidR="00ED32EE" w:rsidRPr="007363A0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63A0">
        <w:rPr>
          <w:rFonts w:ascii="Times New Roman" w:hAnsi="Times New Roman"/>
          <w:color w:val="000000" w:themeColor="text1"/>
          <w:sz w:val="24"/>
          <w:szCs w:val="24"/>
        </w:rPr>
        <w:t>Dodávateľ</w:t>
      </w:r>
      <w:r w:rsidR="00ED32EE" w:rsidRPr="007363A0">
        <w:rPr>
          <w:rFonts w:ascii="Times New Roman" w:hAnsi="Times New Roman"/>
          <w:color w:val="000000" w:themeColor="text1"/>
          <w:sz w:val="24"/>
          <w:szCs w:val="24"/>
        </w:rPr>
        <w:t xml:space="preserve"> sa zaväzuje dodať </w:t>
      </w:r>
      <w:r w:rsidRPr="007363A0">
        <w:rPr>
          <w:rFonts w:ascii="Times New Roman" w:hAnsi="Times New Roman"/>
          <w:color w:val="000000" w:themeColor="text1"/>
          <w:sz w:val="24"/>
          <w:szCs w:val="24"/>
        </w:rPr>
        <w:t>Objednávateľovi</w:t>
      </w:r>
      <w:r w:rsidR="00ED32EE" w:rsidRPr="007363A0">
        <w:rPr>
          <w:rFonts w:ascii="Times New Roman" w:hAnsi="Times New Roman"/>
          <w:color w:val="000000" w:themeColor="text1"/>
          <w:sz w:val="24"/>
          <w:szCs w:val="24"/>
        </w:rPr>
        <w:t xml:space="preserve"> Tovar uvedený v bode 2.3 a špecifikovaný v</w:t>
      </w:r>
      <w:r w:rsidR="00965767" w:rsidRPr="007363A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ED32EE" w:rsidRPr="007363A0">
        <w:rPr>
          <w:rFonts w:ascii="Times New Roman" w:hAnsi="Times New Roman"/>
          <w:color w:val="000000" w:themeColor="text1"/>
          <w:sz w:val="24"/>
          <w:szCs w:val="24"/>
        </w:rPr>
        <w:t>Prílohe</w:t>
      </w:r>
      <w:r w:rsidR="00965767" w:rsidRPr="007363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149F" w:rsidRPr="007363A0">
        <w:rPr>
          <w:rFonts w:ascii="Times New Roman" w:hAnsi="Times New Roman"/>
          <w:color w:val="000000" w:themeColor="text1"/>
          <w:sz w:val="24"/>
          <w:szCs w:val="24"/>
        </w:rPr>
        <w:t>do konca mesiaca november 202</w:t>
      </w:r>
      <w:r w:rsidR="007363A0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F38A1" w:rsidRPr="007363A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F246F85" w14:textId="22D9E361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8F7EC9">
        <w:rPr>
          <w:rFonts w:ascii="Times New Roman" w:hAnsi="Times New Roman"/>
          <w:sz w:val="24"/>
          <w:szCs w:val="24"/>
        </w:rPr>
        <w:t>Podporu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8F7EC9">
        <w:rPr>
          <w:rFonts w:ascii="Times New Roman" w:hAnsi="Times New Roman"/>
          <w:sz w:val="24"/>
          <w:szCs w:val="24"/>
        </w:rPr>
        <w:t>Podpora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8F7EC9">
        <w:rPr>
          <w:rFonts w:ascii="Times New Roman" w:hAnsi="Times New Roman"/>
          <w:sz w:val="24"/>
          <w:szCs w:val="24"/>
        </w:rPr>
        <w:t>Podpore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8F7EC9">
        <w:rPr>
          <w:rFonts w:ascii="Times New Roman" w:hAnsi="Times New Roman"/>
          <w:sz w:val="24"/>
          <w:szCs w:val="24"/>
        </w:rPr>
        <w:t>Podpory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7E6DA9C1" w:rsidR="00B10573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B10573">
        <w:rPr>
          <w:rFonts w:ascii="Times New Roman" w:hAnsi="Times New Roman"/>
          <w:sz w:val="24"/>
          <w:szCs w:val="24"/>
        </w:rPr>
        <w:br w:type="page"/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1B12D001" w:rsidR="00410E6E" w:rsidRPr="00D80B00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D80B00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EC1C9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..............</w:t>
      </w:r>
      <w:r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EC1C9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..............</w:t>
      </w:r>
      <w:r w:rsidRPr="00D80B00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CA78AD"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D80B00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D80B00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D80B0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0EEBC390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</w:t>
      </w:r>
      <w:r w:rsidR="0019726D">
        <w:rPr>
          <w:rFonts w:ascii="Times New Roman" w:hAnsi="Times New Roman"/>
          <w:sz w:val="24"/>
          <w:szCs w:val="24"/>
        </w:rPr>
        <w:t> </w:t>
      </w:r>
      <w:r w:rsidR="00410E6E" w:rsidRPr="0054364E">
        <w:rPr>
          <w:rFonts w:ascii="Times New Roman" w:hAnsi="Times New Roman"/>
          <w:sz w:val="24"/>
          <w:szCs w:val="24"/>
        </w:rPr>
        <w:t>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118BBA2E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 č.</w:t>
      </w:r>
      <w:r w:rsidR="0019726D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 xml:space="preserve">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>. Za správne vyhotovenie faktúry zodpovedá v</w:t>
      </w:r>
      <w:r w:rsidR="0019726D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 xml:space="preserve">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272330B0" w14:textId="77777777" w:rsidR="0021030C" w:rsidRDefault="00483753" w:rsidP="0021030C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D80B00">
        <w:rPr>
          <w:rFonts w:ascii="Times New Roman" w:hAnsi="Times New Roman"/>
          <w:iCs/>
          <w:sz w:val="24"/>
          <w:szCs w:val="24"/>
        </w:rPr>
        <w:t xml:space="preserve"> preddavky ani zálohové platby.</w:t>
      </w:r>
    </w:p>
    <w:p w14:paraId="0A799A69" w14:textId="0E6A82A8" w:rsidR="00410E6E" w:rsidRPr="0021030C" w:rsidRDefault="00410E6E" w:rsidP="0021030C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21030C">
        <w:rPr>
          <w:rFonts w:ascii="Times New Roman" w:hAnsi="Times New Roman"/>
          <w:b/>
          <w:sz w:val="24"/>
          <w:szCs w:val="24"/>
        </w:rPr>
        <w:t xml:space="preserve">Článok </w:t>
      </w:r>
      <w:r w:rsidR="00D82A1E" w:rsidRPr="0021030C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10EFCF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 xml:space="preserve">na základe </w:t>
      </w:r>
      <w:r w:rsidR="0019726D">
        <w:rPr>
          <w:rFonts w:ascii="Times New Roman" w:hAnsi="Times New Roman"/>
          <w:sz w:val="24"/>
          <w:szCs w:val="24"/>
        </w:rPr>
        <w:t>Podpory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20CB3BC2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 xml:space="preserve">po dobu trvania </w:t>
      </w:r>
      <w:r w:rsidR="0019726D">
        <w:rPr>
          <w:rFonts w:ascii="Times New Roman" w:hAnsi="Times New Roman"/>
          <w:sz w:val="24"/>
          <w:szCs w:val="24"/>
        </w:rPr>
        <w:t>Podpory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55383324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 xml:space="preserve">učná doba začína plynúť od začiatku doby trvania </w:t>
      </w:r>
      <w:r w:rsidR="0019726D">
        <w:rPr>
          <w:rFonts w:ascii="Times New Roman" w:hAnsi="Times New Roman"/>
          <w:sz w:val="24"/>
          <w:szCs w:val="24"/>
        </w:rPr>
        <w:t>Podpory</w:t>
      </w:r>
      <w:r w:rsidR="00311D3C">
        <w:rPr>
          <w:rFonts w:ascii="Times New Roman" w:hAnsi="Times New Roman"/>
          <w:sz w:val="24"/>
          <w:szCs w:val="24"/>
        </w:rPr>
        <w:t xml:space="preserve">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036E7170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</w:t>
      </w:r>
      <w:r w:rsidR="0019726D">
        <w:rPr>
          <w:rFonts w:ascii="Times New Roman" w:hAnsi="Times New Roman"/>
          <w:sz w:val="24"/>
          <w:szCs w:val="24"/>
        </w:rPr>
        <w:t> </w:t>
      </w:r>
      <w:r w:rsidR="00410E6E" w:rsidRPr="00943707">
        <w:rPr>
          <w:rFonts w:ascii="Times New Roman" w:hAnsi="Times New Roman"/>
          <w:sz w:val="24"/>
          <w:szCs w:val="24"/>
        </w:rPr>
        <w:t>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5DA1C190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</w:t>
      </w:r>
      <w:r w:rsidR="0019726D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07F8021E" w:rsidR="00B10573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="0019726D">
        <w:rPr>
          <w:rFonts w:ascii="Times New Roman" w:hAnsi="Times New Roman"/>
          <w:sz w:val="24"/>
          <w:szCs w:val="24"/>
        </w:rPr>
        <w:t>Podpory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</w:t>
      </w:r>
      <w:r w:rsidR="0019726D">
        <w:rPr>
          <w:rFonts w:ascii="Times New Roman" w:hAnsi="Times New Roman"/>
          <w:sz w:val="24"/>
          <w:szCs w:val="24"/>
        </w:rPr>
        <w:t>Podpory</w:t>
      </w:r>
      <w:r w:rsidRPr="0057786B">
        <w:rPr>
          <w:rFonts w:ascii="Times New Roman" w:hAnsi="Times New Roman"/>
          <w:sz w:val="24"/>
          <w:szCs w:val="24"/>
        </w:rPr>
        <w:t>.</w:t>
      </w:r>
      <w:r w:rsidR="00B10573">
        <w:rPr>
          <w:rFonts w:ascii="Times New Roman" w:hAnsi="Times New Roman"/>
          <w:sz w:val="24"/>
          <w:szCs w:val="24"/>
        </w:rPr>
        <w:br w:type="page"/>
      </w: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31802185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01EBF760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20F6EF6B" w:rsidR="00317DDF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75D7DC9" w14:textId="77777777" w:rsidR="00D80B00" w:rsidRDefault="00D80B00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55408E" w14:textId="14D9173F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0919D260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</w:t>
      </w:r>
      <w:r w:rsidR="0019726D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2756A4F0" w:rsidR="00CD612A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</w:t>
      </w:r>
      <w:r w:rsidR="0019726D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zaplatenie dlžnej sumy podľa tejto vety.</w:t>
      </w:r>
      <w:r w:rsidR="00CD612A">
        <w:rPr>
          <w:rFonts w:ascii="Times New Roman" w:eastAsia="Times New Roman" w:hAnsi="Times New Roman"/>
          <w:sz w:val="24"/>
          <w:szCs w:val="24"/>
          <w:lang w:eastAsia="sk-SK"/>
        </w:rPr>
        <w:br w:type="page"/>
      </w:r>
    </w:p>
    <w:p w14:paraId="2B949814" w14:textId="4321C94C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241D5613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</w:t>
      </w:r>
      <w:r w:rsidR="0019726D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68</w:t>
      </w:r>
      <w:r w:rsidR="0019726D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1C5D0C02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</w:t>
      </w:r>
      <w:r w:rsidR="0019726D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5FCD7BC0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64E43F9D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>, je</w:t>
      </w:r>
      <w:r w:rsidR="0019726D">
        <w:rPr>
          <w:rFonts w:ascii="Times New Roman" w:hAnsi="Times New Roman"/>
          <w:sz w:val="24"/>
          <w:szCs w:val="24"/>
        </w:rPr>
        <w:t> 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04BF08F8" w:rsidR="0021030C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490944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581B165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</w:t>
      </w:r>
      <w:r w:rsidR="0019726D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doručenú dňom jej prevzatia adresátom. Za deň doručenia písomnosti sa považuje aj</w:t>
      </w:r>
      <w:r w:rsidR="0019726D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</w:t>
      </w:r>
      <w:r w:rsidR="0019726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25724CBA" w14:textId="2B70B85C" w:rsidR="00317DDF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6E11A38E" w14:textId="77777777" w:rsidR="00EC1C98" w:rsidRPr="00EC1C98" w:rsidRDefault="00EC1C98" w:rsidP="00EC1C98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5BC658A" w14:textId="77777777" w:rsidR="00EC1C98" w:rsidRPr="00EC1C98" w:rsidRDefault="00EC1C98" w:rsidP="00EC1C98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C1C98">
        <w:rPr>
          <w:rFonts w:ascii="Times New Roman" w:hAnsi="Times New Roman"/>
          <w:b/>
          <w:sz w:val="24"/>
          <w:szCs w:val="24"/>
        </w:rPr>
        <w:t xml:space="preserve">Za Objednávateľa: </w:t>
      </w:r>
      <w:r w:rsidRPr="00EC1C98">
        <w:rPr>
          <w:rFonts w:ascii="Times New Roman" w:hAnsi="Times New Roman"/>
          <w:b/>
          <w:sz w:val="24"/>
          <w:szCs w:val="24"/>
        </w:rPr>
        <w:tab/>
        <w:t>Za Dodávateľa: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footerReference w:type="default" r:id="rId9"/>
          <w:headerReference w:type="first" r:id="rId10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W w:w="14601" w:type="dxa"/>
        <w:jc w:val="center"/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788"/>
        <w:gridCol w:w="86"/>
        <w:gridCol w:w="2104"/>
        <w:gridCol w:w="3118"/>
        <w:gridCol w:w="1701"/>
        <w:gridCol w:w="1701"/>
        <w:gridCol w:w="2480"/>
        <w:gridCol w:w="2623"/>
      </w:tblGrid>
      <w:tr w:rsidR="00F93997" w:rsidRPr="00F93997" w14:paraId="787B79AA" w14:textId="77777777" w:rsidTr="0019726D">
        <w:trPr>
          <w:gridAfter w:val="4"/>
          <w:wAfter w:w="8505" w:type="dxa"/>
          <w:trHeight w:val="480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B163F67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3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B279C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F93997" w:rsidRPr="00F93997" w14:paraId="0D895B96" w14:textId="77777777" w:rsidTr="00EB61AD">
        <w:trPr>
          <w:trHeight w:val="1950"/>
          <w:jc w:val="center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F93997" w:rsidRPr="00F93997" w:rsidRDefault="00F93997" w:rsidP="006608D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F93997" w:rsidRPr="00F93997" w:rsidRDefault="00F93997" w:rsidP="006608D8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284C6D18" w:rsidR="00F93997" w:rsidRPr="00F93997" w:rsidRDefault="00F93997" w:rsidP="004F01B4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 w:rsidR="0019726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odpory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46508B11" w:rsidR="00F93997" w:rsidRPr="00F93997" w:rsidRDefault="0019726D" w:rsidP="006608D8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</w:t>
            </w:r>
            <w:r w:rsidR="00EC61B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očet používateľov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4758CC5F" w:rsidR="00F93997" w:rsidRPr="00F93997" w:rsidRDefault="00F93997" w:rsidP="006608D8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</w:t>
            </w:r>
            <w:r w:rsidR="00EB61A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 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EUR</w:t>
            </w:r>
            <w:r w:rsidR="00EB61A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 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bez</w:t>
            </w:r>
            <w:r w:rsidR="00EB61A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 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DPH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D822F5" w14:textId="01468266" w:rsidR="00F93997" w:rsidRPr="00F93997" w:rsidRDefault="00F93997" w:rsidP="006608D8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 cena za položku (súčin jednotkovej c</w:t>
            </w:r>
            <w:r w:rsidR="00357188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eny za položku a počtu</w:t>
            </w:r>
            <w:r w:rsidR="00B82A8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používateľov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</w:t>
            </w:r>
            <w:r w:rsidR="00EB61A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 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EUR</w:t>
            </w:r>
            <w:r w:rsidR="00EB61A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 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bez DPH</w:t>
            </w:r>
          </w:p>
          <w:p w14:paraId="34C1E560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F93997" w:rsidRPr="00F93997" w14:paraId="2BDBD150" w14:textId="77777777" w:rsidTr="00EB61AD">
        <w:trPr>
          <w:trHeight w:val="1304"/>
          <w:jc w:val="center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3672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52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04CB" w14:textId="3BFA0576" w:rsidR="00F93997" w:rsidRPr="0019726D" w:rsidRDefault="00FD494B" w:rsidP="0019726D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9726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Podpora pre </w:t>
            </w:r>
            <w:r w:rsidR="00F93997" w:rsidRPr="0019726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licencie </w:t>
            </w:r>
            <w:proofErr w:type="spellStart"/>
            <w:r w:rsidR="00F93997" w:rsidRPr="0019726D">
              <w:rPr>
                <w:rFonts w:ascii="Times New Roman" w:eastAsiaTheme="minorHAnsi" w:hAnsi="Times New Roman"/>
                <w:b/>
                <w:bCs/>
                <w:color w:val="000000"/>
              </w:rPr>
              <w:t>Fabasoft</w:t>
            </w:r>
            <w:proofErr w:type="spellEnd"/>
            <w:r w:rsidR="00F93997" w:rsidRPr="0019726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F93997" w:rsidRPr="0019726D">
              <w:rPr>
                <w:rFonts w:ascii="Times New Roman" w:eastAsiaTheme="minorHAnsi" w:hAnsi="Times New Roman"/>
                <w:b/>
                <w:bCs/>
                <w:color w:val="000000"/>
              </w:rPr>
              <w:t>eGov</w:t>
            </w:r>
            <w:proofErr w:type="spellEnd"/>
            <w:r w:rsidR="00F93997" w:rsidRPr="0019726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Suite</w:t>
            </w:r>
          </w:p>
          <w:p w14:paraId="0288A04F" w14:textId="4DE52892" w:rsidR="00E3755C" w:rsidRPr="00E3755C" w:rsidRDefault="00E3755C" w:rsidP="0019726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>Podpora zahŕňa</w:t>
            </w:r>
            <w:r w:rsidR="0019726D">
              <w:rPr>
                <w:rFonts w:ascii="Times New Roman" w:eastAsiaTheme="minorHAnsi" w:hAnsi="Times New Roman"/>
                <w:color w:val="000000"/>
              </w:rPr>
              <w:t>:</w:t>
            </w:r>
          </w:p>
          <w:p w14:paraId="4E7AA29C" w14:textId="38E1A8BA" w:rsidR="00E3755C" w:rsidRPr="0019726D" w:rsidRDefault="00E3755C" w:rsidP="0019726D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478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19726D">
              <w:rPr>
                <w:rFonts w:ascii="Times New Roman" w:eastAsiaTheme="minorHAnsi" w:hAnsi="Times New Roman"/>
                <w:color w:val="000000"/>
              </w:rPr>
              <w:t xml:space="preserve">nárok na aktuálne verzie a </w:t>
            </w:r>
            <w:proofErr w:type="spellStart"/>
            <w:r w:rsidRPr="0019726D">
              <w:rPr>
                <w:rFonts w:ascii="Times New Roman" w:eastAsiaTheme="minorHAnsi" w:hAnsi="Times New Roman"/>
                <w:color w:val="000000"/>
              </w:rPr>
              <w:t>release</w:t>
            </w:r>
            <w:proofErr w:type="spellEnd"/>
            <w:r w:rsidRPr="0019726D">
              <w:rPr>
                <w:rFonts w:ascii="Times New Roman" w:eastAsiaTheme="minorHAnsi" w:hAnsi="Times New Roman"/>
                <w:color w:val="000000"/>
              </w:rPr>
              <w:t xml:space="preserve"> základného softvérového produktu Fabasoft,</w:t>
            </w:r>
          </w:p>
          <w:p w14:paraId="51BD0A94" w14:textId="406AFC6B" w:rsidR="00E3755C" w:rsidRPr="0019726D" w:rsidRDefault="00E3755C" w:rsidP="0019726D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478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19726D">
              <w:rPr>
                <w:rFonts w:ascii="Times New Roman" w:eastAsiaTheme="minorHAnsi" w:hAnsi="Times New Roman"/>
                <w:color w:val="000000"/>
              </w:rPr>
              <w:t>sprístupnenie programov  na nosiči dát s</w:t>
            </w:r>
            <w:r w:rsidR="0019726D">
              <w:rPr>
                <w:rFonts w:ascii="Times New Roman" w:eastAsiaTheme="minorHAnsi" w:hAnsi="Times New Roman"/>
                <w:color w:val="000000"/>
              </w:rPr>
              <w:t> </w:t>
            </w:r>
            <w:r w:rsidRPr="0019726D">
              <w:rPr>
                <w:rFonts w:ascii="Times New Roman" w:eastAsiaTheme="minorHAnsi" w:hAnsi="Times New Roman"/>
                <w:color w:val="000000"/>
              </w:rPr>
              <w:t>návodom na inštaláciu a popisom vecných a</w:t>
            </w:r>
            <w:r w:rsidR="0019726D">
              <w:rPr>
                <w:rFonts w:ascii="Times New Roman" w:eastAsiaTheme="minorHAnsi" w:hAnsi="Times New Roman"/>
                <w:color w:val="000000"/>
              </w:rPr>
              <w:t> </w:t>
            </w:r>
            <w:r w:rsidRPr="0019726D">
              <w:rPr>
                <w:rFonts w:ascii="Times New Roman" w:eastAsiaTheme="minorHAnsi" w:hAnsi="Times New Roman"/>
                <w:color w:val="000000"/>
              </w:rPr>
              <w:t>technických zmien vo vzťahu k hlavným funkciám systému</w:t>
            </w:r>
            <w:r w:rsidR="0019726D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5C4BC16E" w14:textId="7D030C22" w:rsidR="00E3755C" w:rsidRPr="0019726D" w:rsidRDefault="00E3755C" w:rsidP="0019726D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478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19726D">
              <w:rPr>
                <w:rFonts w:ascii="Times New Roman" w:eastAsiaTheme="minorHAnsi" w:hAnsi="Times New Roman"/>
                <w:color w:val="000000"/>
              </w:rPr>
              <w:t xml:space="preserve">nové vydania a dodatky základného softvérového </w:t>
            </w:r>
            <w:r w:rsidR="0019726D" w:rsidRPr="0019726D">
              <w:rPr>
                <w:rFonts w:ascii="Times New Roman" w:eastAsiaTheme="minorHAnsi" w:hAnsi="Times New Roman"/>
                <w:color w:val="000000"/>
              </w:rPr>
              <w:t>p</w:t>
            </w:r>
            <w:r w:rsidRPr="0019726D">
              <w:rPr>
                <w:rFonts w:ascii="Times New Roman" w:eastAsiaTheme="minorHAnsi" w:hAnsi="Times New Roman"/>
                <w:color w:val="000000"/>
              </w:rPr>
              <w:t>roduktu budú ponúknuté v</w:t>
            </w:r>
            <w:r w:rsidR="00730597">
              <w:rPr>
                <w:rFonts w:ascii="Times New Roman" w:eastAsiaTheme="minorHAnsi" w:hAnsi="Times New Roman"/>
                <w:color w:val="000000"/>
              </w:rPr>
              <w:t> </w:t>
            </w:r>
            <w:r w:rsidRPr="0019726D">
              <w:rPr>
                <w:rFonts w:ascii="Times New Roman" w:eastAsiaTheme="minorHAnsi" w:hAnsi="Times New Roman"/>
                <w:color w:val="000000"/>
              </w:rPr>
              <w:t>primeranom časovom rozpätí podľa ich dispozície</w:t>
            </w:r>
            <w:r w:rsidR="0019726D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5B44871B" w14:textId="50F65C88" w:rsidR="00E3755C" w:rsidRPr="0019726D" w:rsidRDefault="00E3755C" w:rsidP="0019726D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478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19726D">
              <w:rPr>
                <w:rFonts w:ascii="Times New Roman" w:eastAsiaTheme="minorHAnsi" w:hAnsi="Times New Roman"/>
                <w:color w:val="000000"/>
              </w:rPr>
              <w:t>najnovš</w:t>
            </w:r>
            <w:r w:rsidR="00CE0793" w:rsidRPr="0019726D">
              <w:rPr>
                <w:rFonts w:ascii="Times New Roman" w:eastAsiaTheme="minorHAnsi" w:hAnsi="Times New Roman"/>
                <w:color w:val="000000"/>
              </w:rPr>
              <w:t>ie softvérové informácie, ktoré</w:t>
            </w:r>
            <w:r w:rsidRPr="0019726D">
              <w:rPr>
                <w:rFonts w:ascii="Times New Roman" w:eastAsiaTheme="minorHAnsi" w:hAnsi="Times New Roman"/>
                <w:color w:val="000000"/>
              </w:rPr>
              <w:t xml:space="preserve"> umožnia korektné využitie základného softvérového produktu</w:t>
            </w:r>
            <w:r w:rsidR="0019726D"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234D5" w14:textId="6C0EF941" w:rsidR="004F01B4" w:rsidRDefault="004F01B4" w:rsidP="00EC1C98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01.01.202</w:t>
            </w:r>
            <w:r w:rsidR="0019726D">
              <w:rPr>
                <w:rFonts w:ascii="Times New Roman" w:eastAsiaTheme="minorHAnsi" w:hAnsi="Times New Roman"/>
                <w:color w:val="000000"/>
              </w:rPr>
              <w:t>6</w:t>
            </w:r>
          </w:p>
          <w:p w14:paraId="7BFFBF7E" w14:textId="1D6230F9" w:rsidR="0019726D" w:rsidRDefault="0019726D" w:rsidP="00EC1C98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-</w:t>
            </w:r>
          </w:p>
          <w:p w14:paraId="6EFFEACD" w14:textId="1541A06F" w:rsidR="00F93997" w:rsidRPr="00F93997" w:rsidRDefault="00F93997" w:rsidP="0019726D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31.12.202</w:t>
            </w:r>
            <w:r w:rsidR="0019726D">
              <w:rPr>
                <w:rFonts w:ascii="Times New Roman" w:eastAsiaTheme="minorHAnsi" w:hAnsi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FAC10" w14:textId="77777777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1320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8C9BD" w14:textId="33AAC620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2F1B" w14:textId="7B373667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F93997" w:rsidRPr="00F93997" w14:paraId="010C4C65" w14:textId="77777777" w:rsidTr="0019726D">
        <w:trPr>
          <w:gridAfter w:val="4"/>
          <w:wAfter w:w="8505" w:type="dxa"/>
          <w:trHeight w:val="749"/>
          <w:jc w:val="center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47902C9D" w14:textId="64BC4012" w:rsidR="00F93997" w:rsidRPr="00D80B00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14:paraId="68135D88" w14:textId="486C3B1E" w:rsidR="00ED03D1" w:rsidRPr="00F93997" w:rsidRDefault="00ED03D1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</w:p>
    <w:sectPr w:rsidR="00ED03D1" w:rsidRPr="00F93997" w:rsidSect="00B74E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2EE63" w14:textId="77777777" w:rsidR="00E74B4C" w:rsidRDefault="00E74B4C">
      <w:pPr>
        <w:spacing w:after="0" w:line="240" w:lineRule="auto"/>
      </w:pPr>
      <w:r>
        <w:separator/>
      </w:r>
    </w:p>
  </w:endnote>
  <w:endnote w:type="continuationSeparator" w:id="0">
    <w:p w14:paraId="7ECDBF0C" w14:textId="77777777" w:rsidR="00E74B4C" w:rsidRDefault="00E7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D4D8" w14:textId="094F7282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82A81">
      <w:rPr>
        <w:rFonts w:ascii="Times New Roman" w:hAnsi="Times New Roman"/>
        <w:bCs/>
        <w:noProof/>
      </w:rPr>
      <w:t>1</w:t>
    </w:r>
    <w:r w:rsidR="00B82A81">
      <w:rPr>
        <w:rFonts w:ascii="Times New Roman" w:hAnsi="Times New Roman"/>
        <w:bCs/>
        <w:noProof/>
      </w:rPr>
      <w:t>0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82A81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FCD18" w14:textId="3F4B66BD" w:rsidR="00737DF5" w:rsidRDefault="00737DF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54FE" w14:textId="398BB27E" w:rsidR="00737DF5" w:rsidRDefault="00737DF5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25C8" w14:textId="48853694" w:rsidR="00737DF5" w:rsidRDefault="00737DF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A9309" w14:textId="77777777" w:rsidR="00E74B4C" w:rsidRDefault="00E74B4C">
      <w:pPr>
        <w:spacing w:after="0" w:line="240" w:lineRule="auto"/>
      </w:pPr>
      <w:r>
        <w:separator/>
      </w:r>
    </w:p>
  </w:footnote>
  <w:footnote w:type="continuationSeparator" w:id="0">
    <w:p w14:paraId="24290148" w14:textId="77777777" w:rsidR="00E74B4C" w:rsidRDefault="00E7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8D0AD" w14:textId="14F3A093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</w:t>
    </w:r>
    <w:r w:rsidR="005555C9">
      <w:rPr>
        <w:rFonts w:ascii="Times New Roman" w:hAnsi="Times New Roman"/>
        <w:b/>
        <w:bCs/>
        <w:sz w:val="20"/>
        <w:szCs w:val="20"/>
        <w:lang w:val="sk-SK"/>
      </w:rPr>
      <w:t>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63A3D" w14:textId="1292632E" w:rsidR="00737DF5" w:rsidRDefault="00737DF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50829" w14:textId="74A5AAB2" w:rsidR="00737DF5" w:rsidRPr="00F9605E" w:rsidRDefault="00AA468A" w:rsidP="00B74E30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F9605E">
      <w:rPr>
        <w:rFonts w:ascii="Times New Roman" w:hAnsi="Times New Roman"/>
        <w:b/>
        <w:sz w:val="20"/>
        <w:szCs w:val="20"/>
      </w:rPr>
      <w:t xml:space="preserve">Príloha k Zmluve o zabezpečení podpory číslo </w:t>
    </w:r>
    <w:r w:rsidR="005555C9" w:rsidRPr="00F9605E">
      <w:rPr>
        <w:rFonts w:ascii="Times New Roman" w:hAnsi="Times New Roman"/>
        <w:b/>
        <w:bCs/>
        <w:sz w:val="20"/>
        <w:szCs w:val="20"/>
        <w:lang w:val="sk-SK"/>
      </w:rPr>
      <w:t>..................................</w:t>
    </w:r>
  </w:p>
  <w:p w14:paraId="15AE4493" w14:textId="5818746C" w:rsidR="00F9605E" w:rsidRPr="0019726D" w:rsidRDefault="00F9605E" w:rsidP="00F9605E">
    <w:pPr>
      <w:pStyle w:val="Hlavika"/>
      <w:jc w:val="center"/>
      <w:rPr>
        <w:rFonts w:ascii="Times New Roman" w:hAnsi="Times New Roman"/>
        <w:b/>
        <w:sz w:val="26"/>
        <w:szCs w:val="26"/>
      </w:rPr>
    </w:pPr>
    <w:r w:rsidRPr="0019726D">
      <w:rPr>
        <w:rFonts w:ascii="Times New Roman" w:hAnsi="Times New Roman"/>
        <w:b/>
        <w:bCs/>
        <w:sz w:val="26"/>
        <w:szCs w:val="26"/>
        <w:lang w:val="sk-SK"/>
      </w:rPr>
      <w:t>Špecifikácia Tovaru a cenník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3A30" w14:textId="790CA1BC" w:rsidR="00737DF5" w:rsidRDefault="00737D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75B0612E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C718D1"/>
    <w:multiLevelType w:val="hybridMultilevel"/>
    <w:tmpl w:val="93DCCC38"/>
    <w:lvl w:ilvl="0" w:tplc="14A66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51677197">
    <w:abstractNumId w:val="18"/>
  </w:num>
  <w:num w:numId="2" w16cid:durableId="35392779">
    <w:abstractNumId w:val="45"/>
  </w:num>
  <w:num w:numId="3" w16cid:durableId="1110512153">
    <w:abstractNumId w:val="4"/>
  </w:num>
  <w:num w:numId="4" w16cid:durableId="1135563915">
    <w:abstractNumId w:val="36"/>
  </w:num>
  <w:num w:numId="5" w16cid:durableId="1264143263">
    <w:abstractNumId w:val="22"/>
  </w:num>
  <w:num w:numId="6" w16cid:durableId="1393235149">
    <w:abstractNumId w:val="38"/>
  </w:num>
  <w:num w:numId="7" w16cid:durableId="1258565060">
    <w:abstractNumId w:val="7"/>
  </w:num>
  <w:num w:numId="8" w16cid:durableId="1890650415">
    <w:abstractNumId w:val="42"/>
  </w:num>
  <w:num w:numId="9" w16cid:durableId="583298780">
    <w:abstractNumId w:val="15"/>
  </w:num>
  <w:num w:numId="10" w16cid:durableId="2016224315">
    <w:abstractNumId w:val="37"/>
  </w:num>
  <w:num w:numId="11" w16cid:durableId="839003006">
    <w:abstractNumId w:val="9"/>
  </w:num>
  <w:num w:numId="12" w16cid:durableId="1856992873">
    <w:abstractNumId w:val="26"/>
  </w:num>
  <w:num w:numId="13" w16cid:durableId="143087864">
    <w:abstractNumId w:val="35"/>
  </w:num>
  <w:num w:numId="14" w16cid:durableId="1181630310">
    <w:abstractNumId w:val="19"/>
  </w:num>
  <w:num w:numId="15" w16cid:durableId="1118254996">
    <w:abstractNumId w:val="44"/>
  </w:num>
  <w:num w:numId="16" w16cid:durableId="510418412">
    <w:abstractNumId w:val="29"/>
  </w:num>
  <w:num w:numId="17" w16cid:durableId="1135217947">
    <w:abstractNumId w:val="25"/>
  </w:num>
  <w:num w:numId="18" w16cid:durableId="288316288">
    <w:abstractNumId w:val="8"/>
  </w:num>
  <w:num w:numId="19" w16cid:durableId="1750081469">
    <w:abstractNumId w:val="16"/>
  </w:num>
  <w:num w:numId="20" w16cid:durableId="644236737">
    <w:abstractNumId w:val="5"/>
  </w:num>
  <w:num w:numId="21" w16cid:durableId="1283880922">
    <w:abstractNumId w:val="31"/>
  </w:num>
  <w:num w:numId="22" w16cid:durableId="468788882">
    <w:abstractNumId w:val="2"/>
  </w:num>
  <w:num w:numId="23" w16cid:durableId="669412813">
    <w:abstractNumId w:val="3"/>
  </w:num>
  <w:num w:numId="24" w16cid:durableId="185338149">
    <w:abstractNumId w:val="34"/>
  </w:num>
  <w:num w:numId="25" w16cid:durableId="483133228">
    <w:abstractNumId w:val="10"/>
  </w:num>
  <w:num w:numId="26" w16cid:durableId="1612323055">
    <w:abstractNumId w:val="43"/>
  </w:num>
  <w:num w:numId="27" w16cid:durableId="1135370164">
    <w:abstractNumId w:val="32"/>
  </w:num>
  <w:num w:numId="28" w16cid:durableId="648487271">
    <w:abstractNumId w:val="27"/>
  </w:num>
  <w:num w:numId="29" w16cid:durableId="1905292175">
    <w:abstractNumId w:val="33"/>
  </w:num>
  <w:num w:numId="30" w16cid:durableId="13307749">
    <w:abstractNumId w:val="30"/>
  </w:num>
  <w:num w:numId="31" w16cid:durableId="259683278">
    <w:abstractNumId w:val="28"/>
  </w:num>
  <w:num w:numId="32" w16cid:durableId="1320958935">
    <w:abstractNumId w:val="11"/>
  </w:num>
  <w:num w:numId="33" w16cid:durableId="121388285">
    <w:abstractNumId w:val="0"/>
  </w:num>
  <w:num w:numId="34" w16cid:durableId="281694394">
    <w:abstractNumId w:val="40"/>
  </w:num>
  <w:num w:numId="35" w16cid:durableId="213396323">
    <w:abstractNumId w:val="20"/>
  </w:num>
  <w:num w:numId="36" w16cid:durableId="1357729208">
    <w:abstractNumId w:val="12"/>
  </w:num>
  <w:num w:numId="37" w16cid:durableId="661004036">
    <w:abstractNumId w:val="24"/>
  </w:num>
  <w:num w:numId="38" w16cid:durableId="1481728390">
    <w:abstractNumId w:val="39"/>
  </w:num>
  <w:num w:numId="39" w16cid:durableId="576936400">
    <w:abstractNumId w:val="14"/>
  </w:num>
  <w:num w:numId="40" w16cid:durableId="1409887067">
    <w:abstractNumId w:val="17"/>
  </w:num>
  <w:num w:numId="41" w16cid:durableId="281302043">
    <w:abstractNumId w:val="1"/>
  </w:num>
  <w:num w:numId="42" w16cid:durableId="107162518">
    <w:abstractNumId w:val="6"/>
  </w:num>
  <w:num w:numId="43" w16cid:durableId="218901397">
    <w:abstractNumId w:val="13"/>
  </w:num>
  <w:num w:numId="44" w16cid:durableId="699432770">
    <w:abstractNumId w:val="23"/>
  </w:num>
  <w:num w:numId="45" w16cid:durableId="1727147031">
    <w:abstractNumId w:val="41"/>
  </w:num>
  <w:num w:numId="46" w16cid:durableId="15480340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7277340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2CBA"/>
    <w:rsid w:val="00063A1A"/>
    <w:rsid w:val="00070C85"/>
    <w:rsid w:val="000710B0"/>
    <w:rsid w:val="00071822"/>
    <w:rsid w:val="00075914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5D0B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4731"/>
    <w:rsid w:val="0011593A"/>
    <w:rsid w:val="00116D4E"/>
    <w:rsid w:val="0012359C"/>
    <w:rsid w:val="00126C4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41BD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26D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030C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0A8"/>
    <w:rsid w:val="002639A0"/>
    <w:rsid w:val="00266FEB"/>
    <w:rsid w:val="002674B7"/>
    <w:rsid w:val="00267E76"/>
    <w:rsid w:val="0027121A"/>
    <w:rsid w:val="00272007"/>
    <w:rsid w:val="00275499"/>
    <w:rsid w:val="00275A0B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32D"/>
    <w:rsid w:val="002A0CE1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3C8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61C1"/>
    <w:rsid w:val="00317DDF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5E34"/>
    <w:rsid w:val="0035667E"/>
    <w:rsid w:val="003569F9"/>
    <w:rsid w:val="00357188"/>
    <w:rsid w:val="0035769E"/>
    <w:rsid w:val="00363470"/>
    <w:rsid w:val="00366C19"/>
    <w:rsid w:val="00371C59"/>
    <w:rsid w:val="00380DA3"/>
    <w:rsid w:val="0038155C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11D1"/>
    <w:rsid w:val="0040168E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70065"/>
    <w:rsid w:val="00470BBB"/>
    <w:rsid w:val="00470D94"/>
    <w:rsid w:val="00472CB8"/>
    <w:rsid w:val="00475DC4"/>
    <w:rsid w:val="0047668E"/>
    <w:rsid w:val="00477E2D"/>
    <w:rsid w:val="00483753"/>
    <w:rsid w:val="004851FD"/>
    <w:rsid w:val="00485E18"/>
    <w:rsid w:val="0048673E"/>
    <w:rsid w:val="0049066F"/>
    <w:rsid w:val="004948F6"/>
    <w:rsid w:val="00496779"/>
    <w:rsid w:val="00496F0E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1B4"/>
    <w:rsid w:val="004F0548"/>
    <w:rsid w:val="004F5AAD"/>
    <w:rsid w:val="004F6107"/>
    <w:rsid w:val="00500626"/>
    <w:rsid w:val="00501308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55C9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149F"/>
    <w:rsid w:val="005B685A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1089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268E6"/>
    <w:rsid w:val="00631A9C"/>
    <w:rsid w:val="0063297D"/>
    <w:rsid w:val="0063366D"/>
    <w:rsid w:val="00633E74"/>
    <w:rsid w:val="006341FA"/>
    <w:rsid w:val="006349C1"/>
    <w:rsid w:val="006356BB"/>
    <w:rsid w:val="006357F9"/>
    <w:rsid w:val="00636260"/>
    <w:rsid w:val="006403DB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3F0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4CD4"/>
    <w:rsid w:val="00715E75"/>
    <w:rsid w:val="007160A1"/>
    <w:rsid w:val="00716638"/>
    <w:rsid w:val="00716A0A"/>
    <w:rsid w:val="007225B2"/>
    <w:rsid w:val="00730189"/>
    <w:rsid w:val="00730597"/>
    <w:rsid w:val="00732C96"/>
    <w:rsid w:val="00733B52"/>
    <w:rsid w:val="0073476E"/>
    <w:rsid w:val="00735722"/>
    <w:rsid w:val="007363A0"/>
    <w:rsid w:val="00737247"/>
    <w:rsid w:val="00737409"/>
    <w:rsid w:val="00737DF5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90B"/>
    <w:rsid w:val="007D0DF4"/>
    <w:rsid w:val="007D28EF"/>
    <w:rsid w:val="007D2AA3"/>
    <w:rsid w:val="007D31A8"/>
    <w:rsid w:val="007D3AC5"/>
    <w:rsid w:val="007D59A0"/>
    <w:rsid w:val="007E15CF"/>
    <w:rsid w:val="007E1E93"/>
    <w:rsid w:val="007E22CA"/>
    <w:rsid w:val="007E5FBD"/>
    <w:rsid w:val="007E751A"/>
    <w:rsid w:val="007F0B59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28F6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36AE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8F7EC9"/>
    <w:rsid w:val="00902C6D"/>
    <w:rsid w:val="009053A6"/>
    <w:rsid w:val="00910ABD"/>
    <w:rsid w:val="00911ED7"/>
    <w:rsid w:val="009176AE"/>
    <w:rsid w:val="00917A30"/>
    <w:rsid w:val="00921733"/>
    <w:rsid w:val="009230B7"/>
    <w:rsid w:val="009236A0"/>
    <w:rsid w:val="00923A64"/>
    <w:rsid w:val="0092701A"/>
    <w:rsid w:val="009313B2"/>
    <w:rsid w:val="009318BF"/>
    <w:rsid w:val="00934205"/>
    <w:rsid w:val="00935277"/>
    <w:rsid w:val="00935C52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B8B"/>
    <w:rsid w:val="009653C4"/>
    <w:rsid w:val="00965767"/>
    <w:rsid w:val="00966F3A"/>
    <w:rsid w:val="009676BB"/>
    <w:rsid w:val="0097265D"/>
    <w:rsid w:val="00974FD2"/>
    <w:rsid w:val="00977C59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5C8B"/>
    <w:rsid w:val="00A57519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57AB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B38DB"/>
    <w:rsid w:val="00AB6A21"/>
    <w:rsid w:val="00AC00DE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0573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2A81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277"/>
    <w:rsid w:val="00BE4C72"/>
    <w:rsid w:val="00BE5080"/>
    <w:rsid w:val="00BE52FF"/>
    <w:rsid w:val="00BE6983"/>
    <w:rsid w:val="00BF2800"/>
    <w:rsid w:val="00BF38A1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2CE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612A"/>
    <w:rsid w:val="00CD719A"/>
    <w:rsid w:val="00CE0793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43C6F"/>
    <w:rsid w:val="00D44196"/>
    <w:rsid w:val="00D45CE7"/>
    <w:rsid w:val="00D51531"/>
    <w:rsid w:val="00D529B8"/>
    <w:rsid w:val="00D57DF8"/>
    <w:rsid w:val="00D603BF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0B00"/>
    <w:rsid w:val="00D82A1E"/>
    <w:rsid w:val="00D86A5A"/>
    <w:rsid w:val="00D86AA6"/>
    <w:rsid w:val="00D873B2"/>
    <w:rsid w:val="00D905DB"/>
    <w:rsid w:val="00D91AAC"/>
    <w:rsid w:val="00D96765"/>
    <w:rsid w:val="00DA04EC"/>
    <w:rsid w:val="00DA363F"/>
    <w:rsid w:val="00DA444E"/>
    <w:rsid w:val="00DA4988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7B13"/>
    <w:rsid w:val="00DD1A85"/>
    <w:rsid w:val="00DD6E2D"/>
    <w:rsid w:val="00DE013D"/>
    <w:rsid w:val="00DE2D1B"/>
    <w:rsid w:val="00DE61CA"/>
    <w:rsid w:val="00DF193C"/>
    <w:rsid w:val="00DF25BC"/>
    <w:rsid w:val="00DF43FB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3755C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4B4C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1AD"/>
    <w:rsid w:val="00EB6E4F"/>
    <w:rsid w:val="00EB6F55"/>
    <w:rsid w:val="00EC0573"/>
    <w:rsid w:val="00EC1C98"/>
    <w:rsid w:val="00EC1CFC"/>
    <w:rsid w:val="00EC24D5"/>
    <w:rsid w:val="00EC4A12"/>
    <w:rsid w:val="00EC61BD"/>
    <w:rsid w:val="00ED027D"/>
    <w:rsid w:val="00ED03D1"/>
    <w:rsid w:val="00ED17A7"/>
    <w:rsid w:val="00ED286D"/>
    <w:rsid w:val="00ED2C8D"/>
    <w:rsid w:val="00ED32EE"/>
    <w:rsid w:val="00ED337D"/>
    <w:rsid w:val="00ED6A17"/>
    <w:rsid w:val="00ED75A6"/>
    <w:rsid w:val="00EE2C79"/>
    <w:rsid w:val="00EE47F7"/>
    <w:rsid w:val="00EE55B7"/>
    <w:rsid w:val="00EE6D54"/>
    <w:rsid w:val="00EE7C95"/>
    <w:rsid w:val="00EF1962"/>
    <w:rsid w:val="00EF2EB3"/>
    <w:rsid w:val="00EF618A"/>
    <w:rsid w:val="00EF788B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2E5D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3997"/>
    <w:rsid w:val="00F95D9C"/>
    <w:rsid w:val="00F9605E"/>
    <w:rsid w:val="00F964CE"/>
    <w:rsid w:val="00F979DF"/>
    <w:rsid w:val="00FA05C6"/>
    <w:rsid w:val="00FA1D3D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494B"/>
    <w:rsid w:val="00FD7A9B"/>
    <w:rsid w:val="00FD7DA3"/>
    <w:rsid w:val="00FE60A5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8EFAA"/>
  <w15:chartTrackingRefBased/>
  <w15:docId w15:val="{96606647-0A7D-4BDD-ACEE-220DAB1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C20B16F1-5802-4121-9935-4A8534B802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2</cp:revision>
  <dcterms:created xsi:type="dcterms:W3CDTF">2025-10-09T08:02:00Z</dcterms:created>
  <dcterms:modified xsi:type="dcterms:W3CDTF">2025-10-09T08:02:00Z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  <property fmtid="{D5CDD505-2E9C-101B-9397-08002B2CF9AE}" pid="413" name="MSIP_Label_80c7a067-241f-4283-a795-648c046fe564_Enabled">
    <vt:lpwstr>true</vt:lpwstr>
  </property>
  <property fmtid="{D5CDD505-2E9C-101B-9397-08002B2CF9AE}" pid="414" name="MSIP_Label_80c7a067-241f-4283-a795-648c046fe564_SetDate">
    <vt:lpwstr>2024-10-03T09:52:10Z</vt:lpwstr>
  </property>
  <property fmtid="{D5CDD505-2E9C-101B-9397-08002B2CF9AE}" pid="415" name="MSIP_Label_80c7a067-241f-4283-a795-648c046fe564_Method">
    <vt:lpwstr>Privileged</vt:lpwstr>
  </property>
  <property fmtid="{D5CDD505-2E9C-101B-9397-08002B2CF9AE}" pid="416" name="MSIP_Label_80c7a067-241f-4283-a795-648c046fe564_Name">
    <vt:lpwstr>Bez označenia</vt:lpwstr>
  </property>
  <property fmtid="{D5CDD505-2E9C-101B-9397-08002B2CF9AE}" pid="417" name="MSIP_Label_80c7a067-241f-4283-a795-648c046fe564_SiteId">
    <vt:lpwstr>8fe5905d-1a8a-4469-a0d9-11f2c367f0ac</vt:lpwstr>
  </property>
  <property fmtid="{D5CDD505-2E9C-101B-9397-08002B2CF9AE}" pid="418" name="MSIP_Label_80c7a067-241f-4283-a795-648c046fe564_ActionId">
    <vt:lpwstr>604c6904-91f1-4547-909e-bae8d9ce5883</vt:lpwstr>
  </property>
  <property fmtid="{D5CDD505-2E9C-101B-9397-08002B2CF9AE}" pid="419" name="MSIP_Label_80c7a067-241f-4283-a795-648c046fe564_ContentBits">
    <vt:lpwstr>0</vt:lpwstr>
  </property>
</Properties>
</file>