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bookmarkStart w:id="0" w:name="_GoBack"/>
      <w:bookmarkEnd w:id="0"/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8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7C1978">
        <w:trPr>
          <w:trHeight w:val="23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7C1978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7C1978">
        <w:trPr>
          <w:trHeight w:val="242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7C1978">
        <w:trPr>
          <w:trHeight w:val="255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4F995A8" w14:textId="23C996BC" w:rsidR="008F216F" w:rsidRPr="00B51BA1" w:rsidRDefault="007A0D4B" w:rsidP="008F216F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  <w:r w:rsidR="00CA3E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9,85+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A3E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50,00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</w:t>
            </w:r>
            <w:r w:rsidR="00CA3E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50,29</w:t>
            </w:r>
            <w:r w:rsidR="00E86A01"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="00CA3ED2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150,047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76EF58FD" w:rsidR="00490A28" w:rsidRPr="007E155B" w:rsidRDefault="00CA3ED2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              august,        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september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2025</w:t>
            </w:r>
          </w:p>
        </w:tc>
      </w:tr>
      <w:tr w:rsidR="00F8540F" w:rsidRPr="00762AFC" w14:paraId="6D82A7CA" w14:textId="77777777" w:rsidTr="007C1978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7C1978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7C1978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7C1978">
        <w:trPr>
          <w:trHeight w:val="19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37BEFB47" w:rsidR="00490A28" w:rsidRPr="007E155B" w:rsidRDefault="00F70A07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1,</w:t>
            </w:r>
            <w:r w:rsidR="007B20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467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7B20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435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+1,4</w:t>
            </w:r>
            <w:r w:rsidR="007B20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</w:t>
            </w:r>
            <w:r w:rsidR="00E86A01"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="002C4608" w:rsidRPr="002C460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1,4</w:t>
            </w:r>
            <w:r w:rsidR="007B20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53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537CDAD7" w:rsidR="00490A28" w:rsidRPr="007E155B" w:rsidRDefault="007B2005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júl</w:t>
            </w:r>
            <w:proofErr w:type="spellEnd"/>
            <w:r w:rsid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            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august</w:t>
            </w:r>
            <w:r w:rsid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       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september</w:t>
            </w:r>
            <w:proofErr w:type="spellEnd"/>
            <w:r w:rsid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2025</w:t>
            </w:r>
          </w:p>
        </w:tc>
      </w:tr>
      <w:tr w:rsidR="00F8540F" w:rsidRPr="00762AFC" w14:paraId="3A4246D4" w14:textId="77777777" w:rsidTr="007C1978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7C1978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7C1978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7C1978">
        <w:trPr>
          <w:trHeight w:val="24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17EB866" w14:textId="07A30ED7" w:rsidR="00490A28" w:rsidRPr="007E155B" w:rsidRDefault="002C4608" w:rsidP="007B2005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C460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7B20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30</w:t>
            </w:r>
            <w:r w:rsidRPr="002C460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</w:t>
            </w:r>
            <w:r w:rsidR="007B20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0</w:t>
            </w:r>
            <w:r w:rsidR="007B20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7642935A" w:rsidR="00490A28" w:rsidRPr="007E155B" w:rsidRDefault="007B2005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="00F70A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</w:tr>
      <w:tr w:rsidR="00F8540F" w:rsidRPr="00762AFC" w14:paraId="6C9FBEB9" w14:textId="77777777" w:rsidTr="007C1978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7C1978">
        <w:trPr>
          <w:trHeight w:val="283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7C1978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7C1978">
        <w:trPr>
          <w:gridAfter w:val="4"/>
          <w:wAfter w:w="2015" w:type="pct"/>
          <w:trHeight w:val="70"/>
        </w:trPr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7C1978">
        <w:trPr>
          <w:gridAfter w:val="1"/>
          <w:wAfter w:w="540" w:type="pct"/>
          <w:trHeight w:val="215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6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354ABE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354A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354ABE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053276C5" w:rsidR="00A56092" w:rsidRPr="00354ABE" w:rsidRDefault="00A56092" w:rsidP="00E55695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 w:rsidRPr="00354ABE"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 w:rsidRPr="00354ABE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 w:rsidRPr="00354ABE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354ABE" w:rsidRPr="00354ABE">
              <w:rPr>
                <w:rFonts w:asciiTheme="minorHAnsi" w:hAnsiTheme="minorHAnsi" w:cstheme="minorHAnsi"/>
                <w:bCs/>
                <w:lang w:val="da-DK"/>
              </w:rPr>
              <w:t xml:space="preserve">7 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–</w:t>
            </w:r>
            <w:r w:rsidR="00121F0D" w:rsidRPr="00354ABE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354ABE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mení ukazovateľ CMI</w:t>
            </w:r>
            <w:r w:rsidR="00467F4A" w:rsidRPr="00354ABE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354ABE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 w:rsidRPr="00354ABE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354ABE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 w:rsidRPr="00354ABE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354ABE">
              <w:rPr>
                <w:rFonts w:asciiTheme="minorHAnsi" w:hAnsiTheme="minorHAnsi" w:cstheme="minorHAnsi"/>
                <w:b/>
                <w:bCs/>
                <w:lang w:val="da-DK"/>
              </w:rPr>
              <w:t>CMI: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 w:rsidRPr="00354ABE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 w:rsidRPr="00354ABE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 w:rsidRPr="00354ABE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 w:rsidRPr="00354ABE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 w:rsidRPr="00354ABE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 w:rsidRPr="00354ABE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 w:rsidRPr="00354ABE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 w:rsidRPr="00354ABE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 w:rsidRPr="00354ABE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7C748E48" w14:textId="47888943" w:rsidR="002C4608" w:rsidRPr="00503530" w:rsidRDefault="00AE3D33" w:rsidP="00396D62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sectPr w:rsidR="002C460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30C51" w14:textId="77777777" w:rsidR="008C2A47" w:rsidRDefault="008C2A47" w:rsidP="001968DC">
      <w:pPr>
        <w:spacing w:after="0" w:line="240" w:lineRule="auto"/>
      </w:pPr>
      <w:r>
        <w:separator/>
      </w:r>
    </w:p>
  </w:endnote>
  <w:endnote w:type="continuationSeparator" w:id="0">
    <w:p w14:paraId="3DE3C765" w14:textId="77777777" w:rsidR="008C2A47" w:rsidRDefault="008C2A47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4E36A" w14:textId="77777777" w:rsidR="008C2A47" w:rsidRDefault="008C2A47" w:rsidP="001968DC">
      <w:pPr>
        <w:spacing w:after="0" w:line="240" w:lineRule="auto"/>
      </w:pPr>
      <w:r>
        <w:separator/>
      </w:r>
    </w:p>
  </w:footnote>
  <w:footnote w:type="continuationSeparator" w:id="0">
    <w:p w14:paraId="513D1159" w14:textId="77777777" w:rsidR="008C2A47" w:rsidRDefault="008C2A47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0F2" w14:textId="33D0EE5D" w:rsidR="00396D62" w:rsidRDefault="00A87606" w:rsidP="00A87606">
    <w:pPr>
      <w:pStyle w:val="Hlavika"/>
    </w:pPr>
    <w:proofErr w:type="spellStart"/>
    <w:r>
      <w:rPr>
        <w:rFonts w:asciiTheme="minorHAnsi" w:hAnsiTheme="minorHAnsi" w:cstheme="minorHAnsi"/>
        <w:sz w:val="20"/>
        <w:szCs w:val="20"/>
        <w:lang w:val="en-GB"/>
      </w:rPr>
      <w:t>Údržba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vozoviek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diaľnic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a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rýchlostných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komunikácií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odstraňovaním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porúch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-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výtlkov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tryskovou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technológiou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: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časť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1 pre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komunikácie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v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správe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SSÚD 4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Trenčín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, SSÚD 5 P.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Bystrica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, SSÚR 6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Čadca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, SSÚD 6 Martin,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časť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2 pre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komunikácie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v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správe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SSÚD 8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Liptovský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Mikuláš</w:t>
    </w:r>
    <w:proofErr w:type="spellEnd"/>
    <w:r w:rsidRPr="00366D8A">
      <w:rPr>
        <w:rFonts w:asciiTheme="minorHAnsi" w:hAnsiTheme="minorHAnsi" w:cstheme="minorHAnsi"/>
        <w:sz w:val="20"/>
        <w:szCs w:val="20"/>
        <w:lang w:val="en-GB"/>
      </w:rPr>
      <w:t xml:space="preserve"> a SSÚD 9 </w:t>
    </w:r>
    <w:proofErr w:type="spellStart"/>
    <w:r w:rsidRPr="00366D8A">
      <w:rPr>
        <w:rFonts w:asciiTheme="minorHAnsi" w:hAnsiTheme="minorHAnsi" w:cstheme="minorHAnsi"/>
        <w:sz w:val="20"/>
        <w:szCs w:val="20"/>
        <w:lang w:val="en-GB"/>
      </w:rPr>
      <w:t>Mengusovce</w:t>
    </w:r>
    <w:proofErr w:type="spellEnd"/>
    <w:r w:rsidR="00396D62">
      <w:t xml:space="preserve"> </w:t>
    </w:r>
  </w:p>
  <w:p w14:paraId="45237E69" w14:textId="173EA9EF" w:rsidR="001968DC" w:rsidRPr="00CE4F4E" w:rsidRDefault="00A87606" w:rsidP="00A87606">
    <w:pPr>
      <w:tabs>
        <w:tab w:val="left" w:pos="3261"/>
      </w:tabs>
      <w:spacing w:after="0" w:line="240" w:lineRule="auto"/>
      <w:jc w:val="right"/>
      <w:rPr>
        <w:rFonts w:ascii="Arial" w:eastAsia="Calibri" w:hAnsi="Arial" w:cs="Arial"/>
        <w:sz w:val="18"/>
        <w:szCs w:val="18"/>
        <w:lang w:eastAsia="sk-SK"/>
      </w:rPr>
    </w:pPr>
    <w:r>
      <w:rPr>
        <w:rFonts w:ascii="Arial" w:eastAsia="Calibri" w:hAnsi="Arial" w:cs="Arial"/>
        <w:sz w:val="18"/>
        <w:szCs w:val="18"/>
        <w:lang w:eastAsia="sk-SK"/>
      </w:rPr>
      <w:t>Príloha č.4 k časti B.3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6010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74D15"/>
    <w:rsid w:val="00181A89"/>
    <w:rsid w:val="00182D47"/>
    <w:rsid w:val="001851FB"/>
    <w:rsid w:val="001968DC"/>
    <w:rsid w:val="001C4477"/>
    <w:rsid w:val="001D44FB"/>
    <w:rsid w:val="00206324"/>
    <w:rsid w:val="002213A5"/>
    <w:rsid w:val="002254AF"/>
    <w:rsid w:val="00233194"/>
    <w:rsid w:val="00271117"/>
    <w:rsid w:val="00287AD6"/>
    <w:rsid w:val="002968C3"/>
    <w:rsid w:val="002B2A42"/>
    <w:rsid w:val="002C4608"/>
    <w:rsid w:val="002E34D7"/>
    <w:rsid w:val="002E4276"/>
    <w:rsid w:val="002F312A"/>
    <w:rsid w:val="00307E81"/>
    <w:rsid w:val="0031174F"/>
    <w:rsid w:val="003269E9"/>
    <w:rsid w:val="00337F2B"/>
    <w:rsid w:val="00342132"/>
    <w:rsid w:val="003448F0"/>
    <w:rsid w:val="00354ABE"/>
    <w:rsid w:val="003620BA"/>
    <w:rsid w:val="00373F39"/>
    <w:rsid w:val="00381ADF"/>
    <w:rsid w:val="00384924"/>
    <w:rsid w:val="003940EB"/>
    <w:rsid w:val="00396D62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75956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623B3"/>
    <w:rsid w:val="00770E35"/>
    <w:rsid w:val="007A0D4B"/>
    <w:rsid w:val="007A6CE5"/>
    <w:rsid w:val="007B2005"/>
    <w:rsid w:val="007C1978"/>
    <w:rsid w:val="007D3A0B"/>
    <w:rsid w:val="007D531B"/>
    <w:rsid w:val="007D54EE"/>
    <w:rsid w:val="0081447F"/>
    <w:rsid w:val="00855716"/>
    <w:rsid w:val="008649AA"/>
    <w:rsid w:val="00884D53"/>
    <w:rsid w:val="00893B57"/>
    <w:rsid w:val="008C0AEF"/>
    <w:rsid w:val="008C2A47"/>
    <w:rsid w:val="008C7A17"/>
    <w:rsid w:val="008D1CDE"/>
    <w:rsid w:val="008E0C5C"/>
    <w:rsid w:val="008E2C6E"/>
    <w:rsid w:val="008E7A6E"/>
    <w:rsid w:val="008F216F"/>
    <w:rsid w:val="008F2B53"/>
    <w:rsid w:val="008F3E17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9C2FBA"/>
    <w:rsid w:val="00A216BC"/>
    <w:rsid w:val="00A52583"/>
    <w:rsid w:val="00A52684"/>
    <w:rsid w:val="00A55F08"/>
    <w:rsid w:val="00A56092"/>
    <w:rsid w:val="00A65746"/>
    <w:rsid w:val="00A8760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80981"/>
    <w:rsid w:val="00BC32AD"/>
    <w:rsid w:val="00C340F4"/>
    <w:rsid w:val="00C349BA"/>
    <w:rsid w:val="00C418AA"/>
    <w:rsid w:val="00C50BAC"/>
    <w:rsid w:val="00C50F76"/>
    <w:rsid w:val="00C567D2"/>
    <w:rsid w:val="00CA3ED2"/>
    <w:rsid w:val="00CD0C3C"/>
    <w:rsid w:val="00CD644F"/>
    <w:rsid w:val="00CE2474"/>
    <w:rsid w:val="00CE4F4E"/>
    <w:rsid w:val="00D06D72"/>
    <w:rsid w:val="00D55D9A"/>
    <w:rsid w:val="00D607F4"/>
    <w:rsid w:val="00D67598"/>
    <w:rsid w:val="00D74B22"/>
    <w:rsid w:val="00D81AB3"/>
    <w:rsid w:val="00DC61FD"/>
    <w:rsid w:val="00DD151B"/>
    <w:rsid w:val="00DD233E"/>
    <w:rsid w:val="00DF7389"/>
    <w:rsid w:val="00E11F79"/>
    <w:rsid w:val="00E4179E"/>
    <w:rsid w:val="00E46742"/>
    <w:rsid w:val="00E55695"/>
    <w:rsid w:val="00E737EB"/>
    <w:rsid w:val="00E86A01"/>
    <w:rsid w:val="00EC5A44"/>
    <w:rsid w:val="00EF560A"/>
    <w:rsid w:val="00F11776"/>
    <w:rsid w:val="00F37D8D"/>
    <w:rsid w:val="00F70A07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DB2C-8A84-4E9F-88BB-2FF8D96E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2</cp:revision>
  <cp:lastPrinted>2024-05-06T08:15:00Z</cp:lastPrinted>
  <dcterms:created xsi:type="dcterms:W3CDTF">2025-11-27T14:05:00Z</dcterms:created>
  <dcterms:modified xsi:type="dcterms:W3CDTF">2025-11-27T14:05:00Z</dcterms:modified>
</cp:coreProperties>
</file>