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40EE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17D0E08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3433EE4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5D0771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2976558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BBCB6A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51B8C404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844BDFF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039B2BC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08A9AA3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605B0580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1EEEF8BD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50C9258E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FB28995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0F550089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4B022E5B" w14:textId="77777777" w:rsidR="0046718D" w:rsidRPr="0046718D" w:rsidRDefault="0046718D" w:rsidP="0046718D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eastAsiaTheme="minorEastAsia" w:hAnsi="Cambria" w:cstheme="minorBidi"/>
          <w:b w:val="0"/>
          <w:sz w:val="22"/>
          <w:szCs w:val="22"/>
          <w:lang w:eastAsia="ja-JP"/>
        </w:rPr>
      </w:pPr>
    </w:p>
    <w:p w14:paraId="38046F25" w14:textId="6273F596" w:rsidR="0046718D" w:rsidRPr="002C039F" w:rsidRDefault="0046718D">
      <w:pPr>
        <w:pStyle w:val="Zarkazkladnhotextu"/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1C6521">
        <w:rPr>
          <w:rFonts w:ascii="Cambria" w:hAnsi="Cambria"/>
          <w:b/>
          <w:bCs/>
          <w:sz w:val="22"/>
          <w:szCs w:val="22"/>
        </w:rPr>
        <w:t>Špecifikácia Servisných služieb a ich štandardy</w:t>
      </w:r>
    </w:p>
    <w:p w14:paraId="5AAC4D45" w14:textId="77777777" w:rsidR="0046718D" w:rsidRDefault="0046718D" w:rsidP="0046718D">
      <w:pPr>
        <w:pStyle w:val="Zkladntext"/>
        <w:rPr>
          <w:rFonts w:ascii="Cambria" w:hAnsi="Cambria"/>
          <w:b w:val="0"/>
          <w:sz w:val="22"/>
          <w:szCs w:val="22"/>
        </w:rPr>
      </w:pPr>
    </w:p>
    <w:p w14:paraId="1D28B8F5" w14:textId="583809C2" w:rsidR="0046718D" w:rsidRPr="00E01AB7" w:rsidRDefault="0046718D" w:rsidP="0046718D">
      <w:pPr>
        <w:pStyle w:val="Zkladntext"/>
        <w:rPr>
          <w:rFonts w:ascii="Cambria" w:hAnsi="Cambria"/>
          <w:b w:val="0"/>
          <w:sz w:val="22"/>
          <w:szCs w:val="22"/>
        </w:rPr>
      </w:pPr>
      <w:r w:rsidRPr="00E01AB7">
        <w:rPr>
          <w:rFonts w:ascii="Cambria" w:hAnsi="Cambria"/>
          <w:b w:val="0"/>
          <w:sz w:val="22"/>
          <w:szCs w:val="22"/>
        </w:rPr>
        <w:t>(ďalej aj „</w:t>
      </w:r>
      <w:r>
        <w:rPr>
          <w:rFonts w:ascii="Cambria" w:hAnsi="Cambria"/>
        </w:rPr>
        <w:t>Služby</w:t>
      </w:r>
      <w:r w:rsidRPr="00E01AB7">
        <w:rPr>
          <w:rFonts w:ascii="Cambria" w:hAnsi="Cambria"/>
          <w:b w:val="0"/>
          <w:sz w:val="22"/>
          <w:szCs w:val="22"/>
        </w:rPr>
        <w:t>“)</w:t>
      </w:r>
    </w:p>
    <w:p w14:paraId="3E4C52AA" w14:textId="77777777" w:rsidR="0046718D" w:rsidRPr="00E01AB7" w:rsidRDefault="0046718D" w:rsidP="0046718D">
      <w:pPr>
        <w:pStyle w:val="Zkladntext"/>
        <w:rPr>
          <w:rFonts w:ascii="Cambria" w:hAnsi="Cambria"/>
          <w:b w:val="0"/>
          <w:sz w:val="22"/>
          <w:szCs w:val="22"/>
          <w:u w:val="single"/>
        </w:rPr>
      </w:pPr>
    </w:p>
    <w:p w14:paraId="110C1E6D" w14:textId="77777777" w:rsidR="0046718D" w:rsidRDefault="0046718D" w:rsidP="0046718D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br w:type="page"/>
      </w:r>
    </w:p>
    <w:p w14:paraId="059396B7" w14:textId="77777777" w:rsidR="00E8576D" w:rsidRPr="00D4162E" w:rsidRDefault="004E7519" w:rsidP="002C039F">
      <w:pPr>
        <w:pStyle w:val="Zarkazkladnhotextu2"/>
        <w:spacing w:before="120" w:after="240"/>
        <w:ind w:left="0" w:firstLine="0"/>
        <w:jc w:val="both"/>
        <w:rPr>
          <w:rFonts w:ascii="Cambria" w:hAnsi="Cambria"/>
          <w:b/>
          <w:bCs/>
          <w:i/>
          <w:iCs/>
          <w:color w:val="auto"/>
        </w:rPr>
      </w:pPr>
      <w:r w:rsidRPr="00D4162E">
        <w:rPr>
          <w:rFonts w:ascii="Cambria" w:eastAsia="Calibri" w:hAnsi="Cambria" w:cs="Calibri"/>
          <w:b/>
          <w:bCs/>
          <w:color w:val="auto"/>
          <w:lang w:eastAsia="sk-SK" w:bidi="sk-SK"/>
        </w:rPr>
        <w:lastRenderedPageBreak/>
        <w:t xml:space="preserve">Príloha č. 2: Špecifikácia </w:t>
      </w:r>
      <w:r w:rsidR="008E3E0E" w:rsidRPr="00D4162E">
        <w:rPr>
          <w:rFonts w:ascii="Cambria" w:eastAsia="Calibri" w:hAnsi="Cambria" w:cs="Calibri"/>
          <w:b/>
          <w:bCs/>
          <w:color w:val="auto"/>
          <w:lang w:eastAsia="sk-SK" w:bidi="sk-SK"/>
        </w:rPr>
        <w:t>S</w:t>
      </w:r>
      <w:r w:rsidRPr="00D4162E">
        <w:rPr>
          <w:rFonts w:ascii="Cambria" w:eastAsia="Calibri" w:hAnsi="Cambria" w:cs="Calibri"/>
          <w:b/>
          <w:bCs/>
          <w:color w:val="auto"/>
          <w:lang w:eastAsia="sk-SK" w:bidi="sk-SK"/>
        </w:rPr>
        <w:t>ervisných služieb</w:t>
      </w:r>
      <w:r w:rsidR="006C609B" w:rsidRPr="00D4162E">
        <w:rPr>
          <w:rFonts w:ascii="Cambria" w:eastAsia="Calibri" w:hAnsi="Cambria" w:cs="Calibri"/>
          <w:b/>
          <w:bCs/>
          <w:color w:val="auto"/>
          <w:lang w:eastAsia="sk-SK" w:bidi="sk-SK"/>
        </w:rPr>
        <w:t xml:space="preserve"> a </w:t>
      </w:r>
      <w:r w:rsidR="006C609B" w:rsidRPr="00D4162E">
        <w:rPr>
          <w:rFonts w:ascii="Cambria" w:hAnsi="Cambria"/>
          <w:b/>
          <w:bCs/>
          <w:color w:val="auto"/>
        </w:rPr>
        <w:t>ich štandardy</w:t>
      </w:r>
    </w:p>
    <w:p w14:paraId="531737EB" w14:textId="358ACD38" w:rsidR="00A32DAB" w:rsidRPr="00013EB0" w:rsidRDefault="00A32DAB" w:rsidP="007301B8">
      <w:pPr>
        <w:jc w:val="both"/>
        <w:rPr>
          <w:rFonts w:ascii="Cambria" w:hAnsi="Cambria"/>
          <w:lang w:val="sk-SK"/>
        </w:rPr>
      </w:pPr>
      <w:r w:rsidRPr="00013EB0">
        <w:rPr>
          <w:rFonts w:ascii="Cambria" w:hAnsi="Cambria"/>
          <w:lang w:val="sk-SK"/>
        </w:rPr>
        <w:t xml:space="preserve">Poskytovateľ sa touto </w:t>
      </w:r>
      <w:r w:rsidR="00CE56F4" w:rsidRPr="00013EB0">
        <w:rPr>
          <w:rFonts w:ascii="Cambria" w:hAnsi="Cambria"/>
          <w:lang w:val="sk-SK"/>
        </w:rPr>
        <w:t>S</w:t>
      </w:r>
      <w:r w:rsidRPr="00013EB0">
        <w:rPr>
          <w:rFonts w:ascii="Cambria" w:hAnsi="Cambria"/>
          <w:lang w:val="sk-SK"/>
        </w:rPr>
        <w:t xml:space="preserve">ervisnou zmluvou zaviaže zabezpečiť prevádzkyschopnosť systému pozostávajúcu z dvoch vzájomne súvisiacich činností, a to z údržby a podpory systému, ktorá zahŕňa zabezpečenie jeho garantovanej spoľahlivosti a požadovanej úrovne dostupnosti a rýchle odstránenie prípadných problémov bez negatívneho dopadu na prevádzku systému a z ďalšej úpravy, ktorá zahŕňa modernizáciu alebo rozširovanie funkčnosti, ktorá môže byť vynútená budúcimi legislatívnymi zmenami, zmenami/ úpravou rozhraní pre externé systémy, s ktorými sa informačný systém integruje alebo môže integrovať. </w:t>
      </w:r>
    </w:p>
    <w:p w14:paraId="3CC90192" w14:textId="77777777" w:rsidR="00A32DAB" w:rsidRPr="00965461" w:rsidRDefault="00A32DAB" w:rsidP="007301B8">
      <w:pPr>
        <w:pStyle w:val="Nadpis2"/>
        <w:jc w:val="both"/>
        <w:rPr>
          <w:rFonts w:ascii="Cambria" w:hAnsi="Cambria"/>
          <w:b/>
          <w:bCs/>
          <w:szCs w:val="24"/>
        </w:rPr>
      </w:pPr>
      <w:bookmarkStart w:id="0" w:name="_Toc210289538"/>
      <w:r w:rsidRPr="00965461">
        <w:rPr>
          <w:rFonts w:ascii="Cambria" w:hAnsi="Cambria"/>
          <w:b/>
          <w:bCs/>
          <w:szCs w:val="24"/>
        </w:rPr>
        <w:t>Požiadavky na zabezpečenie prevádzky systému (SLA)</w:t>
      </w:r>
      <w:bookmarkEnd w:id="0"/>
    </w:p>
    <w:p w14:paraId="559ED3AA" w14:textId="77777777" w:rsidR="00965461" w:rsidRDefault="00965461" w:rsidP="007301B8">
      <w:pPr>
        <w:pStyle w:val="Nadpis3"/>
        <w:numPr>
          <w:ilvl w:val="0"/>
          <w:numId w:val="0"/>
        </w:numPr>
        <w:rPr>
          <w:rFonts w:ascii="Cambria" w:hAnsi="Cambria"/>
          <w:b/>
          <w:bCs/>
          <w:szCs w:val="24"/>
        </w:rPr>
      </w:pPr>
    </w:p>
    <w:p w14:paraId="064E17A8" w14:textId="691E974A" w:rsidR="00A32DAB" w:rsidRDefault="00A32DAB" w:rsidP="007301B8">
      <w:pPr>
        <w:pStyle w:val="Nadpis3"/>
        <w:numPr>
          <w:ilvl w:val="0"/>
          <w:numId w:val="0"/>
        </w:numPr>
        <w:rPr>
          <w:rFonts w:ascii="Cambria" w:hAnsi="Cambria"/>
          <w:b/>
          <w:bCs/>
          <w:szCs w:val="24"/>
        </w:rPr>
      </w:pPr>
      <w:r w:rsidRPr="00013EB0">
        <w:rPr>
          <w:rFonts w:ascii="Cambria" w:hAnsi="Cambria"/>
          <w:b/>
          <w:bCs/>
          <w:szCs w:val="24"/>
        </w:rPr>
        <w:t>Dostupnosť</w:t>
      </w:r>
    </w:p>
    <w:p w14:paraId="76F976CE" w14:textId="77777777" w:rsidR="00B04729" w:rsidRDefault="00B04729" w:rsidP="00B04729">
      <w:pPr>
        <w:rPr>
          <w:lang w:val="sk-SK" w:eastAsia="en-US"/>
        </w:rPr>
      </w:pPr>
    </w:p>
    <w:p w14:paraId="49937675" w14:textId="2EE69223" w:rsidR="00B04729" w:rsidRPr="000B405A" w:rsidRDefault="00B04729" w:rsidP="000B405A">
      <w:pPr>
        <w:jc w:val="both"/>
        <w:rPr>
          <w:rFonts w:ascii="Cambria" w:hAnsi="Cambria"/>
        </w:rPr>
      </w:pPr>
      <w:r w:rsidRPr="000B405A">
        <w:rPr>
          <w:rFonts w:ascii="Cambria" w:hAnsi="Cambria"/>
          <w:lang w:val="sk-SK" w:eastAsia="en-US"/>
        </w:rPr>
        <w:t>Nakoľko je infra</w:t>
      </w:r>
      <w:r w:rsidR="006214A3" w:rsidRPr="000B405A">
        <w:rPr>
          <w:rFonts w:ascii="Cambria" w:hAnsi="Cambria"/>
          <w:lang w:val="sk-SK" w:eastAsia="en-US"/>
        </w:rPr>
        <w:t xml:space="preserve">štruktúra v správe </w:t>
      </w:r>
      <w:r w:rsidR="0089106D" w:rsidRPr="000B405A">
        <w:rPr>
          <w:rFonts w:ascii="Cambria" w:hAnsi="Cambria"/>
          <w:lang w:val="sk-SK" w:eastAsia="en-US"/>
        </w:rPr>
        <w:t xml:space="preserve">objednávateľa, </w:t>
      </w:r>
      <w:r w:rsidR="001C016D">
        <w:rPr>
          <w:rFonts w:ascii="Cambria" w:hAnsi="Cambria"/>
          <w:lang w:val="sk-SK" w:eastAsia="en-US"/>
        </w:rPr>
        <w:t xml:space="preserve">požadovaná dostupnosť sa týka iba </w:t>
      </w:r>
      <w:r w:rsidR="008240F2">
        <w:rPr>
          <w:rFonts w:ascii="Cambria" w:hAnsi="Cambria"/>
          <w:lang w:val="sk-SK" w:eastAsia="en-US"/>
        </w:rPr>
        <w:t>poskytovaných služieb od poskytovateľa, ak vypadne sieť, nie je to porušenie dostupnosti</w:t>
      </w:r>
      <w:r w:rsidR="00482684">
        <w:rPr>
          <w:rFonts w:ascii="Cambria" w:hAnsi="Cambria"/>
          <w:lang w:val="sk-SK" w:eastAsia="en-US"/>
        </w:rPr>
        <w:t xml:space="preserve"> podľa</w:t>
      </w:r>
      <w:r w:rsidR="00971B4B">
        <w:rPr>
          <w:rFonts w:ascii="Cambria" w:hAnsi="Cambria"/>
          <w:lang w:val="sk-SK" w:eastAsia="en-US"/>
        </w:rPr>
        <w:t xml:space="preserve"> podmienok v tejto Prílohe Servisnej zmluvy.</w:t>
      </w:r>
    </w:p>
    <w:p w14:paraId="4895C29E" w14:textId="77777777" w:rsidR="00CE56F4" w:rsidRPr="00013EB0" w:rsidRDefault="00CE56F4" w:rsidP="007301B8">
      <w:pPr>
        <w:jc w:val="both"/>
        <w:rPr>
          <w:rFonts w:ascii="Cambria" w:eastAsiaTheme="minorEastAsia" w:hAnsi="Cambria"/>
          <w:color w:val="000000" w:themeColor="text1"/>
          <w:lang w:val="sk-SK"/>
        </w:rPr>
      </w:pPr>
    </w:p>
    <w:p w14:paraId="7CEE44CB" w14:textId="1C743CDD" w:rsidR="00A32DAB" w:rsidRPr="00013EB0" w:rsidRDefault="00A32DAB" w:rsidP="007301B8">
      <w:pPr>
        <w:jc w:val="both"/>
        <w:rPr>
          <w:rFonts w:ascii="Cambria" w:eastAsiaTheme="minorEastAsia" w:hAnsi="Cambria"/>
          <w:color w:val="000000" w:themeColor="text1"/>
          <w:lang w:val="sk-SK"/>
        </w:rPr>
      </w:pPr>
      <w:r w:rsidRPr="00013EB0">
        <w:rPr>
          <w:rFonts w:ascii="Cambria" w:eastAsiaTheme="minorEastAsia" w:hAnsi="Cambria"/>
          <w:color w:val="000000" w:themeColor="text1"/>
          <w:lang w:val="sk-SK"/>
        </w:rPr>
        <w:t>V tabuľke je definovaná požiadavka na dostupnosť DMS</w:t>
      </w:r>
      <w:r w:rsidR="00383E84" w:rsidRPr="00013EB0">
        <w:rPr>
          <w:rFonts w:ascii="Cambria" w:eastAsiaTheme="minorEastAsia" w:hAnsi="Cambria"/>
          <w:color w:val="000000" w:themeColor="text1"/>
          <w:lang w:val="sk-SK"/>
        </w:rPr>
        <w:t>:</w:t>
      </w:r>
    </w:p>
    <w:tbl>
      <w:tblPr>
        <w:tblStyle w:val="NBStl"/>
        <w:tblW w:w="5000" w:type="pct"/>
        <w:tblLook w:val="04A0" w:firstRow="1" w:lastRow="0" w:firstColumn="1" w:lastColumn="0" w:noHBand="0" w:noVBand="1"/>
      </w:tblPr>
      <w:tblGrid>
        <w:gridCol w:w="1667"/>
        <w:gridCol w:w="1949"/>
        <w:gridCol w:w="6012"/>
      </w:tblGrid>
      <w:tr w:rsidR="00A32DAB" w:rsidRPr="00013EB0" w14:paraId="6C79575D" w14:textId="77777777" w:rsidTr="0037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866" w:type="pct"/>
          </w:tcPr>
          <w:p w14:paraId="5BD22BDC" w14:textId="77777777" w:rsidR="00A32DAB" w:rsidRPr="00013EB0" w:rsidRDefault="00A32DAB" w:rsidP="007301B8">
            <w:pPr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Popis</w:t>
            </w:r>
          </w:p>
        </w:tc>
        <w:tc>
          <w:tcPr>
            <w:tcW w:w="1012" w:type="pct"/>
          </w:tcPr>
          <w:p w14:paraId="28E98A8A" w14:textId="77777777" w:rsidR="00A32DAB" w:rsidRPr="00013EB0" w:rsidRDefault="00A32DAB" w:rsidP="007301B8">
            <w:pPr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Parameter</w:t>
            </w:r>
          </w:p>
        </w:tc>
        <w:tc>
          <w:tcPr>
            <w:tcW w:w="3121" w:type="pct"/>
          </w:tcPr>
          <w:p w14:paraId="22748E07" w14:textId="77777777" w:rsidR="00A32DAB" w:rsidRPr="00013EB0" w:rsidRDefault="00A32DAB" w:rsidP="007301B8">
            <w:pPr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Poznámka</w:t>
            </w:r>
          </w:p>
        </w:tc>
      </w:tr>
      <w:tr w:rsidR="00A32DAB" w:rsidRPr="00013EB0" w14:paraId="336EB06C" w14:textId="77777777" w:rsidTr="00374182">
        <w:trPr>
          <w:trHeight w:val="255"/>
        </w:trPr>
        <w:tc>
          <w:tcPr>
            <w:tcW w:w="866" w:type="pct"/>
          </w:tcPr>
          <w:p w14:paraId="06198D2A" w14:textId="77777777" w:rsidR="00A32DAB" w:rsidRPr="00013EB0" w:rsidRDefault="00A32DAB" w:rsidP="007301B8">
            <w:pPr>
              <w:rPr>
                <w:rFonts w:eastAsiaTheme="minorEastAsia"/>
                <w:bCs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bCs/>
                <w:color w:val="000000" w:themeColor="text1"/>
                <w:lang w:val="sk-SK"/>
              </w:rPr>
              <w:t>Prevádzkové hodiny</w:t>
            </w:r>
          </w:p>
        </w:tc>
        <w:tc>
          <w:tcPr>
            <w:tcW w:w="1012" w:type="pct"/>
          </w:tcPr>
          <w:p w14:paraId="1D4939D6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9 hodín</w:t>
            </w:r>
          </w:p>
        </w:tc>
        <w:tc>
          <w:tcPr>
            <w:tcW w:w="3121" w:type="pct"/>
          </w:tcPr>
          <w:p w14:paraId="1D3C755A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od 8.00 h do 17.00 h (5x9)</w:t>
            </w:r>
          </w:p>
        </w:tc>
      </w:tr>
      <w:tr w:rsidR="00A32DAB" w:rsidRPr="00013EB0" w14:paraId="40333DEE" w14:textId="77777777" w:rsidTr="00374182">
        <w:trPr>
          <w:trHeight w:val="255"/>
        </w:trPr>
        <w:tc>
          <w:tcPr>
            <w:tcW w:w="866" w:type="pct"/>
            <w:vMerge w:val="restart"/>
          </w:tcPr>
          <w:p w14:paraId="3872F7F3" w14:textId="77777777" w:rsidR="00A32DAB" w:rsidRPr="00013EB0" w:rsidRDefault="00A32DAB" w:rsidP="007301B8">
            <w:pPr>
              <w:rPr>
                <w:rFonts w:eastAsiaTheme="minorEastAsia"/>
                <w:bCs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bCs/>
                <w:color w:val="000000" w:themeColor="text1"/>
                <w:lang w:val="sk-SK"/>
              </w:rPr>
              <w:t>Servisné okno</w:t>
            </w:r>
          </w:p>
        </w:tc>
        <w:tc>
          <w:tcPr>
            <w:tcW w:w="1012" w:type="pct"/>
          </w:tcPr>
          <w:p w14:paraId="2D9F0184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8 hodín</w:t>
            </w:r>
          </w:p>
        </w:tc>
        <w:tc>
          <w:tcPr>
            <w:tcW w:w="3121" w:type="pct"/>
          </w:tcPr>
          <w:p w14:paraId="4809EF6F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od 21.00 h do 5.00 h počas pracovných dní</w:t>
            </w:r>
          </w:p>
        </w:tc>
      </w:tr>
      <w:tr w:rsidR="00A32DAB" w:rsidRPr="00013EB0" w14:paraId="67B0BA38" w14:textId="77777777" w:rsidTr="00374182">
        <w:trPr>
          <w:trHeight w:val="420"/>
        </w:trPr>
        <w:tc>
          <w:tcPr>
            <w:tcW w:w="866" w:type="pct"/>
            <w:vMerge/>
          </w:tcPr>
          <w:p w14:paraId="08DBADAE" w14:textId="77777777" w:rsidR="00A32DAB" w:rsidRPr="00013EB0" w:rsidRDefault="00A32DAB" w:rsidP="007301B8">
            <w:pPr>
              <w:rPr>
                <w:bCs/>
                <w:lang w:val="sk-SK"/>
              </w:rPr>
            </w:pPr>
          </w:p>
        </w:tc>
        <w:tc>
          <w:tcPr>
            <w:tcW w:w="1012" w:type="pct"/>
          </w:tcPr>
          <w:p w14:paraId="6EA293FF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24 hodín</w:t>
            </w:r>
          </w:p>
        </w:tc>
        <w:tc>
          <w:tcPr>
            <w:tcW w:w="3121" w:type="pct"/>
          </w:tcPr>
          <w:p w14:paraId="6E1488C8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od 00.00 h do 23.59 h počas dní pracovného pokoja a štátnych sviatkov</w:t>
            </w:r>
          </w:p>
          <w:p w14:paraId="24D05745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Servis a údržba sa bude realizovať mimo pracovného času.</w:t>
            </w:r>
          </w:p>
        </w:tc>
      </w:tr>
      <w:tr w:rsidR="00A32DAB" w:rsidRPr="00013EB0" w14:paraId="487123C8" w14:textId="77777777" w:rsidTr="00374182">
        <w:trPr>
          <w:trHeight w:val="2310"/>
        </w:trPr>
        <w:tc>
          <w:tcPr>
            <w:tcW w:w="866" w:type="pct"/>
          </w:tcPr>
          <w:p w14:paraId="01E4F37A" w14:textId="77777777" w:rsidR="00A32DAB" w:rsidRPr="00013EB0" w:rsidRDefault="00A32DAB" w:rsidP="007301B8">
            <w:pPr>
              <w:rPr>
                <w:rFonts w:eastAsiaTheme="minorEastAsia"/>
                <w:bCs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bCs/>
                <w:color w:val="000000" w:themeColor="text1"/>
                <w:lang w:val="sk-SK"/>
              </w:rPr>
              <w:t>Dostupnosť produkčného prostredia IS</w:t>
            </w:r>
          </w:p>
        </w:tc>
        <w:tc>
          <w:tcPr>
            <w:tcW w:w="1012" w:type="pct"/>
          </w:tcPr>
          <w:p w14:paraId="475D4FD5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99,5 %</w:t>
            </w:r>
          </w:p>
        </w:tc>
        <w:tc>
          <w:tcPr>
            <w:tcW w:w="3121" w:type="pct"/>
          </w:tcPr>
          <w:p w14:paraId="61CC8747" w14:textId="77777777" w:rsidR="00A32DAB" w:rsidRPr="00013EB0" w:rsidRDefault="00A32DAB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99,5 % dostupnosť znamená max. výpadok DMS:</w:t>
            </w:r>
          </w:p>
          <w:p w14:paraId="7E6EAB05" w14:textId="77777777" w:rsidR="00A32DAB" w:rsidRPr="00013EB0" w:rsidRDefault="00A32DAB" w:rsidP="007301B8">
            <w:pPr>
              <w:pStyle w:val="Odsekzoznamu"/>
              <w:numPr>
                <w:ilvl w:val="0"/>
                <w:numId w:val="47"/>
              </w:numPr>
              <w:contextualSpacing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1,83 dňa za rok</w:t>
            </w:r>
          </w:p>
          <w:p w14:paraId="76A3E529" w14:textId="77777777" w:rsidR="00A32DAB" w:rsidRPr="00013EB0" w:rsidRDefault="00A32DAB" w:rsidP="007301B8">
            <w:pPr>
              <w:pStyle w:val="Odsekzoznamu"/>
              <w:numPr>
                <w:ilvl w:val="0"/>
                <w:numId w:val="47"/>
              </w:numPr>
              <w:contextualSpacing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3,65 hodín za mesiac</w:t>
            </w:r>
          </w:p>
          <w:p w14:paraId="089B49F6" w14:textId="77777777" w:rsidR="00A32DAB" w:rsidRPr="00013EB0" w:rsidRDefault="00A32DAB" w:rsidP="007301B8">
            <w:pPr>
              <w:pStyle w:val="Odsekzoznamu"/>
              <w:numPr>
                <w:ilvl w:val="0"/>
                <w:numId w:val="47"/>
              </w:numPr>
              <w:contextualSpacing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50,4 minút za týždeň</w:t>
            </w:r>
          </w:p>
        </w:tc>
      </w:tr>
    </w:tbl>
    <w:p w14:paraId="37767916" w14:textId="77777777" w:rsidR="00A32DAB" w:rsidRPr="00013EB0" w:rsidRDefault="00A32DAB" w:rsidP="007301B8">
      <w:pPr>
        <w:jc w:val="both"/>
        <w:rPr>
          <w:rFonts w:ascii="Cambria" w:eastAsiaTheme="minorEastAsia" w:hAnsi="Cambria"/>
          <w:b/>
          <w:lang w:val="sk-SK"/>
        </w:rPr>
      </w:pPr>
    </w:p>
    <w:p w14:paraId="7ECE94FA" w14:textId="77777777" w:rsidR="00CE56F4" w:rsidRPr="00013EB0" w:rsidRDefault="00CE56F4" w:rsidP="007301B8">
      <w:pPr>
        <w:pStyle w:val="Nadpis3"/>
        <w:numPr>
          <w:ilvl w:val="0"/>
          <w:numId w:val="0"/>
        </w:numPr>
        <w:rPr>
          <w:rFonts w:ascii="Cambria" w:hAnsi="Cambria"/>
          <w:b/>
          <w:bCs/>
          <w:szCs w:val="24"/>
        </w:rPr>
      </w:pPr>
      <w:r w:rsidRPr="00013EB0">
        <w:rPr>
          <w:rFonts w:ascii="Cambria" w:hAnsi="Cambria"/>
          <w:b/>
          <w:bCs/>
          <w:szCs w:val="24"/>
        </w:rPr>
        <w:t>Riešenie incidentov</w:t>
      </w:r>
    </w:p>
    <w:p w14:paraId="5CE50383" w14:textId="77777777" w:rsidR="00CE56F4" w:rsidRPr="00013EB0" w:rsidRDefault="00CE56F4" w:rsidP="007301B8">
      <w:pPr>
        <w:jc w:val="both"/>
        <w:rPr>
          <w:rFonts w:ascii="Cambria" w:eastAsiaTheme="minorEastAsia" w:hAnsi="Cambria"/>
          <w:color w:val="000000" w:themeColor="text1"/>
          <w:lang w:val="sk-SK"/>
        </w:rPr>
      </w:pPr>
    </w:p>
    <w:p w14:paraId="5636352D" w14:textId="14A31602" w:rsidR="00CE56F4" w:rsidRPr="00013EB0" w:rsidRDefault="00CE56F4" w:rsidP="007301B8">
      <w:pPr>
        <w:jc w:val="both"/>
        <w:rPr>
          <w:rFonts w:ascii="Cambria" w:eastAsiaTheme="minorEastAsia" w:hAnsi="Cambria"/>
          <w:color w:val="000000" w:themeColor="text1"/>
          <w:lang w:val="sk-SK"/>
        </w:rPr>
      </w:pPr>
      <w:r w:rsidRPr="00013EB0">
        <w:rPr>
          <w:rFonts w:ascii="Cambria" w:eastAsiaTheme="minorEastAsia" w:hAnsi="Cambria"/>
          <w:color w:val="000000" w:themeColor="text1"/>
          <w:lang w:val="sk-SK"/>
        </w:rPr>
        <w:t>V tabuľke je definovaná požiadavka pre dobu odozvy riešenia incidentov</w:t>
      </w:r>
      <w:r w:rsidR="00383E84" w:rsidRPr="00013EB0">
        <w:rPr>
          <w:rFonts w:ascii="Cambria" w:eastAsiaTheme="minorEastAsia" w:hAnsi="Cambria"/>
          <w:color w:val="000000" w:themeColor="text1"/>
          <w:lang w:val="sk-SK"/>
        </w:rPr>
        <w:t>:</w:t>
      </w:r>
    </w:p>
    <w:tbl>
      <w:tblPr>
        <w:tblStyle w:val="NBStl"/>
        <w:tblW w:w="5000" w:type="pct"/>
        <w:tblLook w:val="04A0" w:firstRow="1" w:lastRow="0" w:firstColumn="1" w:lastColumn="0" w:noHBand="0" w:noVBand="1"/>
      </w:tblPr>
      <w:tblGrid>
        <w:gridCol w:w="1654"/>
        <w:gridCol w:w="1729"/>
        <w:gridCol w:w="1716"/>
        <w:gridCol w:w="1858"/>
        <w:gridCol w:w="2671"/>
      </w:tblGrid>
      <w:tr w:rsidR="00CE56F4" w:rsidRPr="00013EB0" w14:paraId="614562B0" w14:textId="77777777" w:rsidTr="00150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59" w:type="pct"/>
          </w:tcPr>
          <w:p w14:paraId="78A2F103" w14:textId="77777777" w:rsidR="00CE56F4" w:rsidRPr="00013EB0" w:rsidRDefault="00CE56F4" w:rsidP="0022012E">
            <w:pPr>
              <w:jc w:val="left"/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Incident</w:t>
            </w:r>
          </w:p>
        </w:tc>
        <w:tc>
          <w:tcPr>
            <w:tcW w:w="898" w:type="pct"/>
          </w:tcPr>
          <w:p w14:paraId="1E04EEFC" w14:textId="77777777" w:rsidR="00CE56F4" w:rsidRPr="00013EB0" w:rsidRDefault="00CE56F4" w:rsidP="0022012E">
            <w:pPr>
              <w:jc w:val="left"/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Zadaný</w:t>
            </w:r>
          </w:p>
        </w:tc>
        <w:tc>
          <w:tcPr>
            <w:tcW w:w="891" w:type="pct"/>
          </w:tcPr>
          <w:p w14:paraId="3E510CCB" w14:textId="77777777" w:rsidR="00CE56F4" w:rsidRPr="00013EB0" w:rsidRDefault="00CE56F4" w:rsidP="0022012E">
            <w:pPr>
              <w:jc w:val="left"/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Doba odozvy (v prac. dobe)</w:t>
            </w:r>
          </w:p>
        </w:tc>
        <w:tc>
          <w:tcPr>
            <w:tcW w:w="965" w:type="pct"/>
          </w:tcPr>
          <w:p w14:paraId="46649A04" w14:textId="77777777" w:rsidR="00CE56F4" w:rsidRPr="00013EB0" w:rsidRDefault="00CE56F4" w:rsidP="0022012E">
            <w:pPr>
              <w:jc w:val="left"/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Zadaný</w:t>
            </w:r>
          </w:p>
        </w:tc>
        <w:tc>
          <w:tcPr>
            <w:tcW w:w="1387" w:type="pct"/>
          </w:tcPr>
          <w:p w14:paraId="1C75763A" w14:textId="77777777" w:rsidR="00CE56F4" w:rsidRPr="00013EB0" w:rsidRDefault="00CE56F4" w:rsidP="0022012E">
            <w:pPr>
              <w:jc w:val="left"/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Doba odozvy (mimo prac. doby)</w:t>
            </w:r>
          </w:p>
        </w:tc>
      </w:tr>
      <w:tr w:rsidR="00CE56F4" w:rsidRPr="00013EB0" w14:paraId="7518D5BD" w14:textId="77777777" w:rsidTr="00150304">
        <w:trPr>
          <w:trHeight w:val="300"/>
        </w:trPr>
        <w:tc>
          <w:tcPr>
            <w:tcW w:w="859" w:type="pct"/>
          </w:tcPr>
          <w:p w14:paraId="3DE7EF0D" w14:textId="77777777" w:rsidR="00CE56F4" w:rsidRPr="00013EB0" w:rsidRDefault="00CE56F4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Zásadný incident</w:t>
            </w:r>
          </w:p>
        </w:tc>
        <w:tc>
          <w:tcPr>
            <w:tcW w:w="898" w:type="pct"/>
          </w:tcPr>
          <w:p w14:paraId="05CA9BE5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v pracovnej dobe</w:t>
            </w:r>
          </w:p>
        </w:tc>
        <w:tc>
          <w:tcPr>
            <w:tcW w:w="891" w:type="pct"/>
          </w:tcPr>
          <w:p w14:paraId="48CB4F52" w14:textId="77777777" w:rsidR="00CE56F4" w:rsidRPr="00013EB0" w:rsidRDefault="00CE56F4" w:rsidP="0022012E">
            <w:pPr>
              <w:spacing w:before="20" w:after="20" w:line="257" w:lineRule="auto"/>
              <w:jc w:val="left"/>
              <w:rPr>
                <w:rFonts w:eastAsia="Cambria" w:cs="Cambria"/>
                <w:lang w:val="sk-SK"/>
              </w:rPr>
            </w:pPr>
            <w:r w:rsidRPr="00013EB0">
              <w:rPr>
                <w:rFonts w:eastAsia="Cambria" w:cs="Cambria"/>
                <w:lang w:val="sk-SK"/>
              </w:rPr>
              <w:t xml:space="preserve">do 2 hodín od nahlásenia </w:t>
            </w:r>
          </w:p>
          <w:p w14:paraId="3AAEE04B" w14:textId="77777777" w:rsidR="00CE56F4" w:rsidRPr="00013EB0" w:rsidRDefault="00CE56F4" w:rsidP="0022012E">
            <w:pPr>
              <w:spacing w:before="20" w:after="20"/>
              <w:jc w:val="left"/>
              <w:rPr>
                <w:lang w:val="sk-SK"/>
              </w:rPr>
            </w:pPr>
            <w:r w:rsidRPr="00013EB0">
              <w:rPr>
                <w:lang w:val="sk-SK"/>
              </w:rPr>
              <w:br/>
            </w:r>
          </w:p>
          <w:p w14:paraId="61DF7F7A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</w:p>
        </w:tc>
        <w:tc>
          <w:tcPr>
            <w:tcW w:w="965" w:type="pct"/>
          </w:tcPr>
          <w:p w14:paraId="562A4A2E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mimo pracovnej doby</w:t>
            </w:r>
          </w:p>
        </w:tc>
        <w:tc>
          <w:tcPr>
            <w:tcW w:w="1387" w:type="pct"/>
          </w:tcPr>
          <w:p w14:paraId="2F6C9EE7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najneskôr ďalší pracovný deň do 8.00 h</w:t>
            </w:r>
          </w:p>
        </w:tc>
      </w:tr>
      <w:tr w:rsidR="00CE56F4" w:rsidRPr="00013EB0" w14:paraId="322CD709" w14:textId="77777777" w:rsidTr="00150304">
        <w:trPr>
          <w:trHeight w:val="300"/>
        </w:trPr>
        <w:tc>
          <w:tcPr>
            <w:tcW w:w="859" w:type="pct"/>
          </w:tcPr>
          <w:p w14:paraId="54CC9AFC" w14:textId="77777777" w:rsidR="00CE56F4" w:rsidRPr="00013EB0" w:rsidRDefault="00CE56F4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lastRenderedPageBreak/>
              <w:t>Závažný incident</w:t>
            </w:r>
          </w:p>
        </w:tc>
        <w:tc>
          <w:tcPr>
            <w:tcW w:w="898" w:type="pct"/>
          </w:tcPr>
          <w:p w14:paraId="4862A1F8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v pracovnej dobe</w:t>
            </w:r>
          </w:p>
        </w:tc>
        <w:tc>
          <w:tcPr>
            <w:tcW w:w="891" w:type="pct"/>
          </w:tcPr>
          <w:p w14:paraId="0AEC7A91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do 4 hodín od nahlásenia</w:t>
            </w:r>
          </w:p>
        </w:tc>
        <w:tc>
          <w:tcPr>
            <w:tcW w:w="965" w:type="pct"/>
          </w:tcPr>
          <w:p w14:paraId="2D26CD7D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mimo pracovnej doby</w:t>
            </w:r>
          </w:p>
        </w:tc>
        <w:tc>
          <w:tcPr>
            <w:tcW w:w="1387" w:type="pct"/>
          </w:tcPr>
          <w:p w14:paraId="44A612D2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najneskôr ďalší pracovný deň do 10.00 h</w:t>
            </w:r>
          </w:p>
        </w:tc>
      </w:tr>
      <w:tr w:rsidR="00CE56F4" w:rsidRPr="00013EB0" w14:paraId="6E46E6ED" w14:textId="77777777" w:rsidTr="00150304">
        <w:trPr>
          <w:trHeight w:val="300"/>
        </w:trPr>
        <w:tc>
          <w:tcPr>
            <w:tcW w:w="859" w:type="pct"/>
          </w:tcPr>
          <w:p w14:paraId="7D423873" w14:textId="77777777" w:rsidR="00CE56F4" w:rsidRPr="00013EB0" w:rsidRDefault="00CE56F4" w:rsidP="007301B8">
            <w:pPr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Nepodstatný incident</w:t>
            </w:r>
          </w:p>
        </w:tc>
        <w:tc>
          <w:tcPr>
            <w:tcW w:w="898" w:type="pct"/>
          </w:tcPr>
          <w:p w14:paraId="707C9F37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v pracovnej dobe</w:t>
            </w:r>
          </w:p>
        </w:tc>
        <w:tc>
          <w:tcPr>
            <w:tcW w:w="891" w:type="pct"/>
          </w:tcPr>
          <w:p w14:paraId="77F50287" w14:textId="77777777" w:rsidR="00CE56F4" w:rsidRPr="00013EB0" w:rsidRDefault="00CE56F4" w:rsidP="0022012E">
            <w:pPr>
              <w:jc w:val="left"/>
              <w:rPr>
                <w:rFonts w:eastAsiaTheme="minorEastAsia"/>
                <w:color w:val="000000" w:themeColor="text1"/>
                <w:lang w:val="sk-SK"/>
              </w:rPr>
            </w:pPr>
            <w:r w:rsidRPr="00013EB0">
              <w:rPr>
                <w:rFonts w:eastAsiaTheme="minorEastAsia"/>
                <w:color w:val="000000" w:themeColor="text1"/>
                <w:lang w:val="sk-SK"/>
              </w:rPr>
              <w:t>do 2 pracovných dní od nahlásenia</w:t>
            </w:r>
          </w:p>
        </w:tc>
        <w:tc>
          <w:tcPr>
            <w:tcW w:w="965" w:type="pct"/>
          </w:tcPr>
          <w:p w14:paraId="0D6EF77F" w14:textId="77777777" w:rsidR="00CE56F4" w:rsidRPr="00013EB0" w:rsidRDefault="00CE56F4" w:rsidP="0022012E">
            <w:pPr>
              <w:jc w:val="left"/>
              <w:rPr>
                <w:rFonts w:eastAsiaTheme="minorEastAsia"/>
                <w:lang w:val="sk-SK"/>
              </w:rPr>
            </w:pPr>
          </w:p>
        </w:tc>
        <w:tc>
          <w:tcPr>
            <w:tcW w:w="1387" w:type="pct"/>
          </w:tcPr>
          <w:p w14:paraId="75197FC0" w14:textId="77777777" w:rsidR="00CE56F4" w:rsidRPr="00013EB0" w:rsidRDefault="00CE56F4" w:rsidP="0022012E">
            <w:pPr>
              <w:jc w:val="left"/>
              <w:rPr>
                <w:rFonts w:eastAsiaTheme="minorEastAsia"/>
                <w:lang w:val="sk-SK"/>
              </w:rPr>
            </w:pPr>
          </w:p>
        </w:tc>
      </w:tr>
    </w:tbl>
    <w:p w14:paraId="31160DCE" w14:textId="77777777" w:rsidR="00CE56F4" w:rsidRPr="00013EB0" w:rsidRDefault="00CE56F4" w:rsidP="007301B8">
      <w:pPr>
        <w:jc w:val="both"/>
        <w:rPr>
          <w:rFonts w:ascii="Cambria" w:eastAsiaTheme="minorEastAsia" w:hAnsi="Cambria"/>
          <w:b/>
          <w:bCs/>
          <w:color w:val="000000" w:themeColor="text1"/>
          <w:lang w:val="sk-SK"/>
        </w:rPr>
      </w:pPr>
      <w:r w:rsidRPr="00013EB0">
        <w:rPr>
          <w:rFonts w:ascii="Cambria" w:eastAsiaTheme="minorEastAsia" w:hAnsi="Cambria"/>
          <w:lang w:val="sk-SK"/>
        </w:rPr>
        <w:t xml:space="preserve"> </w:t>
      </w:r>
      <w:r w:rsidRPr="00013EB0">
        <w:rPr>
          <w:rFonts w:ascii="Cambria" w:hAnsi="Cambria"/>
          <w:lang w:val="sk-SK"/>
        </w:rPr>
        <w:br/>
      </w:r>
      <w:r w:rsidRPr="00013EB0">
        <w:rPr>
          <w:rFonts w:ascii="Cambria" w:eastAsiaTheme="minorEastAsia" w:hAnsi="Cambria"/>
          <w:b/>
          <w:bCs/>
          <w:color w:val="000000" w:themeColor="text1"/>
          <w:lang w:val="sk-SK"/>
        </w:rPr>
        <w:t>Definícia kritickosti incidentov</w:t>
      </w:r>
    </w:p>
    <w:tbl>
      <w:tblPr>
        <w:tblStyle w:val="NBStl"/>
        <w:tblW w:w="5151" w:type="pct"/>
        <w:tblLook w:val="0020" w:firstRow="1" w:lastRow="0" w:firstColumn="0" w:lastColumn="0" w:noHBand="0" w:noVBand="0"/>
      </w:tblPr>
      <w:tblGrid>
        <w:gridCol w:w="2103"/>
        <w:gridCol w:w="7816"/>
      </w:tblGrid>
      <w:tr w:rsidR="00CE56F4" w:rsidRPr="00013EB0" w14:paraId="63C25CD4" w14:textId="77777777" w:rsidTr="00325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0" w:type="pct"/>
          </w:tcPr>
          <w:p w14:paraId="361C6D7B" w14:textId="77777777" w:rsidR="00CE56F4" w:rsidRPr="00013EB0" w:rsidRDefault="00CE56F4" w:rsidP="007301B8">
            <w:pPr>
              <w:rPr>
                <w:rFonts w:eastAsiaTheme="minorEastAsia"/>
                <w:b w:val="0"/>
                <w:color w:val="FFFFFF" w:themeColor="background1"/>
                <w:lang w:val="sk-SK"/>
              </w:rPr>
            </w:pPr>
            <w:r w:rsidRPr="00013EB0">
              <w:rPr>
                <w:rFonts w:eastAsiaTheme="minorEastAsia"/>
                <w:color w:val="FFFFFF" w:themeColor="background1"/>
                <w:lang w:val="sk-SK"/>
              </w:rPr>
              <w:t>Závažnosť/typ  incidentu</w:t>
            </w:r>
          </w:p>
        </w:tc>
        <w:tc>
          <w:tcPr>
            <w:tcW w:w="3940" w:type="pct"/>
          </w:tcPr>
          <w:p w14:paraId="7BA0D2C2" w14:textId="77777777" w:rsidR="00CE56F4" w:rsidRPr="00013EB0" w:rsidRDefault="00CE56F4" w:rsidP="00E12705">
            <w:pPr>
              <w:pStyle w:val="Zarkazkladnhotextu3"/>
              <w:spacing w:before="240" w:after="20"/>
              <w:ind w:firstLine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013EB0">
              <w:rPr>
                <w:rFonts w:ascii="Cambria" w:hAnsi="Cambria" w:cs="Tahoma"/>
                <w:bCs/>
                <w:color w:val="FFFFFF" w:themeColor="background1"/>
                <w:sz w:val="24"/>
                <w:szCs w:val="24"/>
              </w:rPr>
              <w:t>Popis naliehavosti incidentu</w:t>
            </w:r>
          </w:p>
        </w:tc>
      </w:tr>
      <w:tr w:rsidR="00CE56F4" w:rsidRPr="00013EB0" w14:paraId="49AF93AE" w14:textId="77777777" w:rsidTr="003257F9">
        <w:tc>
          <w:tcPr>
            <w:tcW w:w="1060" w:type="pct"/>
          </w:tcPr>
          <w:p w14:paraId="327010B3" w14:textId="77777777" w:rsidR="00CE56F4" w:rsidRPr="00013EB0" w:rsidRDefault="00CE56F4" w:rsidP="007301B8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Zásadný incident</w:t>
            </w:r>
          </w:p>
        </w:tc>
        <w:tc>
          <w:tcPr>
            <w:tcW w:w="3940" w:type="pct"/>
          </w:tcPr>
          <w:p w14:paraId="103D7B25" w14:textId="77777777" w:rsidR="00CE56F4" w:rsidRPr="00013EB0" w:rsidRDefault="00CE56F4" w:rsidP="007702FD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Do tejto klasifikácie spadajú všetky neplánované výpadky prevádzky Informačného systému oznámené Poskytovateľovi Objednávateľom, u ktorých sa riešením incidentu zistí, že je spôsobený vážnou chybou alebo nedostatkom Informačného systému, a táto chyba a/alebo nedostatok zabraňuje jeho riadnemu používaniu v prevádzke nasledovne:</w:t>
            </w:r>
          </w:p>
          <w:p w14:paraId="21AA054C" w14:textId="77777777" w:rsidR="00CE56F4" w:rsidRPr="00013EB0" w:rsidRDefault="00CE56F4" w:rsidP="007301B8">
            <w:pPr>
              <w:pStyle w:val="Zarkazkladnhotextu3"/>
              <w:numPr>
                <w:ilvl w:val="0"/>
                <w:numId w:val="14"/>
              </w:numPr>
              <w:spacing w:before="60" w:after="20"/>
              <w:ind w:left="284" w:hanging="284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 xml:space="preserve">Aplikačné funkcie Informačného systému nie sú funkčné ako celok, alebo ide o takú chybu alebo nedostatok Informačného systému, ktorý neumožní úspešne realizovať procesy Objednávateľa podporované Informačným systémom, alebo </w:t>
            </w:r>
          </w:p>
          <w:p w14:paraId="1299F9B2" w14:textId="77777777" w:rsidR="00CE56F4" w:rsidRPr="00013EB0" w:rsidRDefault="00CE56F4" w:rsidP="007301B8">
            <w:pPr>
              <w:pStyle w:val="Zarkazkladnhotextu3"/>
              <w:numPr>
                <w:ilvl w:val="0"/>
                <w:numId w:val="14"/>
              </w:numPr>
              <w:spacing w:before="60" w:after="20"/>
              <w:ind w:left="284" w:hanging="284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Aplikačné funkcie Informačného systému, prostredníctvom ktorých sa realizujú časovo závislé procesy Objednávateľa, nie sú úplne funkčné, alebo</w:t>
            </w:r>
          </w:p>
          <w:p w14:paraId="380CE746" w14:textId="77777777" w:rsidR="00CE56F4" w:rsidRPr="00013EB0" w:rsidRDefault="00CE56F4" w:rsidP="007301B8">
            <w:pPr>
              <w:pStyle w:val="Zarkazkladnhotextu3"/>
              <w:numPr>
                <w:ilvl w:val="0"/>
                <w:numId w:val="14"/>
              </w:numPr>
              <w:spacing w:before="60" w:after="20"/>
              <w:ind w:left="284" w:hanging="284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Aplikačné funkcie Informačného systému, ktoré majú priamy dopad na riadny chod Objednávateľa, nie sú funkčné.</w:t>
            </w:r>
          </w:p>
          <w:p w14:paraId="62113874" w14:textId="77777777" w:rsidR="00CE56F4" w:rsidRPr="00013EB0" w:rsidRDefault="00CE56F4" w:rsidP="007301B8">
            <w:pPr>
              <w:pStyle w:val="Zarkazkladnhotextu3"/>
              <w:spacing w:before="60" w:after="20"/>
              <w:ind w:left="75"/>
              <w:rPr>
                <w:rFonts w:ascii="Cambria" w:hAnsi="Cambria"/>
                <w:sz w:val="24"/>
                <w:szCs w:val="24"/>
              </w:rPr>
            </w:pPr>
          </w:p>
        </w:tc>
      </w:tr>
      <w:tr w:rsidR="00CE56F4" w:rsidRPr="00013EB0" w14:paraId="57959E02" w14:textId="77777777" w:rsidTr="003257F9">
        <w:tc>
          <w:tcPr>
            <w:tcW w:w="1060" w:type="pct"/>
          </w:tcPr>
          <w:p w14:paraId="6FC1565F" w14:textId="77777777" w:rsidR="00CE56F4" w:rsidRPr="00013EB0" w:rsidRDefault="00CE56F4" w:rsidP="007301B8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Závažný incident</w:t>
            </w:r>
          </w:p>
        </w:tc>
        <w:tc>
          <w:tcPr>
            <w:tcW w:w="3940" w:type="pct"/>
          </w:tcPr>
          <w:p w14:paraId="671B6462" w14:textId="77777777" w:rsidR="00CE56F4" w:rsidRPr="00013EB0" w:rsidRDefault="00CE56F4" w:rsidP="007702FD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Do tejto klasifikácie spadajú všetky neplánované výpadky prevádzky Informačného systému oznámené Poskytovateľovi Objednávateľom, u ktorých sa riešením incidentu zistí, že je spôsobený chybou alebo nedostatkom Informačného systému a táto chyba a/alebo nedostatok zabraňuje jeho plnohodnotnému používaniu v prevádzke tak, že Aplikačné funkcie Informačného systému, prostredníctvom ktorých sa realizujú časovo závislé procesy Objednávateľa, nie sú čiastočne funkčné.</w:t>
            </w:r>
          </w:p>
          <w:p w14:paraId="20E6F6C5" w14:textId="77777777" w:rsidR="00CE56F4" w:rsidRPr="00013EB0" w:rsidRDefault="00CE56F4" w:rsidP="007301B8">
            <w:pPr>
              <w:pStyle w:val="Zarkazkladnhotextu3"/>
              <w:spacing w:before="60" w:after="20"/>
              <w:rPr>
                <w:rFonts w:ascii="Cambria" w:hAnsi="Cambria"/>
                <w:sz w:val="24"/>
                <w:szCs w:val="24"/>
              </w:rPr>
            </w:pPr>
          </w:p>
        </w:tc>
      </w:tr>
      <w:tr w:rsidR="00CE56F4" w:rsidRPr="00013EB0" w14:paraId="28884900" w14:textId="77777777" w:rsidTr="003257F9">
        <w:tc>
          <w:tcPr>
            <w:tcW w:w="1060" w:type="pct"/>
          </w:tcPr>
          <w:p w14:paraId="21DBA6A5" w14:textId="77777777" w:rsidR="00CE56F4" w:rsidRPr="00013EB0" w:rsidRDefault="00CE56F4" w:rsidP="007301B8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Nepodstatný incident</w:t>
            </w:r>
          </w:p>
        </w:tc>
        <w:tc>
          <w:tcPr>
            <w:tcW w:w="3940" w:type="pct"/>
          </w:tcPr>
          <w:p w14:paraId="0294BB59" w14:textId="77777777" w:rsidR="00CE56F4" w:rsidRPr="00013EB0" w:rsidRDefault="00CE56F4" w:rsidP="007702FD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 xml:space="preserve">Do tejto klasifikácie spadajú všetky neplánované výpadky prevádzky Informačného systému oznámené Poskytovateľovi Objednávateľom, ktoré nie sú klasifikované ako závažné alebo zásadné incidenty. </w:t>
            </w:r>
          </w:p>
          <w:p w14:paraId="1EE3E9AD" w14:textId="77777777" w:rsidR="00CE56F4" w:rsidRPr="00013EB0" w:rsidRDefault="00CE56F4" w:rsidP="007702FD">
            <w:pPr>
              <w:pStyle w:val="Zarkazkladnhotextu3"/>
              <w:spacing w:before="60" w:after="20"/>
              <w:ind w:firstLine="0"/>
              <w:rPr>
                <w:rFonts w:ascii="Cambria" w:hAnsi="Cambria"/>
                <w:sz w:val="24"/>
                <w:szCs w:val="24"/>
              </w:rPr>
            </w:pPr>
            <w:r w:rsidRPr="00013EB0">
              <w:rPr>
                <w:rFonts w:ascii="Cambria" w:hAnsi="Cambria"/>
                <w:sz w:val="24"/>
                <w:szCs w:val="24"/>
              </w:rPr>
              <w:t>Incidenty tejto klasifikácie síce obmedzujú používanie Informačného systému ale v zásade neobmedzujú základné funkcie a prevádzku tohto Informačného systému.</w:t>
            </w:r>
          </w:p>
        </w:tc>
      </w:tr>
    </w:tbl>
    <w:p w14:paraId="22D84363" w14:textId="77777777" w:rsidR="00CE56F4" w:rsidRPr="00013EB0" w:rsidRDefault="00CE56F4" w:rsidP="007301B8">
      <w:pPr>
        <w:jc w:val="both"/>
        <w:rPr>
          <w:rFonts w:ascii="Cambria" w:eastAsiaTheme="minorEastAsia" w:hAnsi="Cambria"/>
          <w:b/>
          <w:lang w:val="sk-SK"/>
        </w:rPr>
      </w:pPr>
    </w:p>
    <w:p w14:paraId="3B05F062" w14:textId="02899C23" w:rsidR="000853C5" w:rsidRPr="00013EB0" w:rsidRDefault="00B36FC7" w:rsidP="007301B8">
      <w:pPr>
        <w:spacing w:line="257" w:lineRule="auto"/>
        <w:jc w:val="both"/>
        <w:rPr>
          <w:rFonts w:ascii="Cambria" w:eastAsia="Calibri" w:hAnsi="Cambria" w:cs="Calibri"/>
          <w:lang w:val="sk-SK"/>
        </w:rPr>
      </w:pPr>
      <w:bookmarkStart w:id="1" w:name="_Hlk112843292"/>
      <w:r w:rsidRPr="00013EB0">
        <w:rPr>
          <w:rFonts w:ascii="Cambria" w:eastAsia="Calibri" w:hAnsi="Cambria" w:cs="Calibri"/>
          <w:lang w:val="sk-SK"/>
        </w:rPr>
        <w:t>Pre účely Servisnej zmluvy sa rozumie:</w:t>
      </w:r>
    </w:p>
    <w:p w14:paraId="6DE3C5BB" w14:textId="77777777" w:rsidR="000853C5" w:rsidRPr="00013EB0" w:rsidRDefault="000853C5" w:rsidP="007301B8">
      <w:pPr>
        <w:pStyle w:val="Odsekzoznamu"/>
        <w:numPr>
          <w:ilvl w:val="0"/>
          <w:numId w:val="48"/>
        </w:numPr>
        <w:spacing w:after="160" w:line="257" w:lineRule="auto"/>
        <w:contextualSpacing/>
        <w:jc w:val="both"/>
        <w:rPr>
          <w:rFonts w:ascii="Cambria" w:eastAsiaTheme="minorEastAsia" w:hAnsi="Cambria"/>
          <w:lang w:val="sk-SK"/>
        </w:rPr>
      </w:pPr>
      <w:r w:rsidRPr="00013EB0">
        <w:rPr>
          <w:rFonts w:ascii="Cambria" w:eastAsia="Calibri" w:hAnsi="Cambria" w:cs="Calibri"/>
          <w:lang w:val="sk-SK"/>
        </w:rPr>
        <w:t>pracovnou dobou - časové obdobie medzi 8.00 – 17.00 hod v bežných pracovných dňoch (9 pracovných hodín), ktorými sú všetky dni okrem dní pracovného pokoja v týždni a sviatkov,</w:t>
      </w:r>
    </w:p>
    <w:p w14:paraId="56257784" w14:textId="77777777" w:rsidR="000853C5" w:rsidRPr="00013EB0" w:rsidRDefault="000853C5" w:rsidP="007301B8">
      <w:pPr>
        <w:pStyle w:val="Odsekzoznamu"/>
        <w:numPr>
          <w:ilvl w:val="0"/>
          <w:numId w:val="48"/>
        </w:numPr>
        <w:spacing w:after="160" w:line="257" w:lineRule="auto"/>
        <w:contextualSpacing/>
        <w:jc w:val="both"/>
        <w:rPr>
          <w:rFonts w:ascii="Cambria" w:eastAsiaTheme="minorEastAsia" w:hAnsi="Cambria"/>
          <w:lang w:val="sk-SK"/>
        </w:rPr>
      </w:pPr>
      <w:r w:rsidRPr="00013EB0">
        <w:rPr>
          <w:rFonts w:ascii="Cambria" w:eastAsia="Calibri" w:hAnsi="Cambria" w:cs="Calibri"/>
          <w:lang w:val="sk-SK"/>
        </w:rPr>
        <w:lastRenderedPageBreak/>
        <w:t>pracovným dňom - čas, ktorý uplynie medzi pracovnou dobou dvoch po sebe nasledujúcich bežných pracovných dní</w:t>
      </w:r>
    </w:p>
    <w:p w14:paraId="174FBB9C" w14:textId="307F64D6" w:rsidR="000853C5" w:rsidRPr="00374182" w:rsidRDefault="000853C5" w:rsidP="007301B8">
      <w:pPr>
        <w:jc w:val="both"/>
        <w:rPr>
          <w:rFonts w:ascii="Cambria" w:hAnsi="Cambria"/>
          <w:lang w:val="sk-SK"/>
        </w:rPr>
      </w:pPr>
      <w:r w:rsidRPr="00374182">
        <w:rPr>
          <w:rFonts w:ascii="Cambria" w:hAnsi="Cambria"/>
          <w:lang w:val="sk-SK"/>
        </w:rPr>
        <w:t>Vysvetlenie:</w:t>
      </w:r>
    </w:p>
    <w:p w14:paraId="68DD11C2" w14:textId="77777777" w:rsidR="000853C5" w:rsidRPr="00232773" w:rsidRDefault="000853C5" w:rsidP="007301B8">
      <w:pPr>
        <w:jc w:val="both"/>
        <w:rPr>
          <w:rFonts w:ascii="Cambria" w:hAnsi="Cambria"/>
        </w:rPr>
      </w:pPr>
    </w:p>
    <w:p w14:paraId="03FF2143" w14:textId="77777777" w:rsidR="000853C5" w:rsidRPr="00232773" w:rsidRDefault="000853C5" w:rsidP="007301B8">
      <w:pPr>
        <w:jc w:val="both"/>
        <w:rPr>
          <w:rFonts w:ascii="Cambria" w:hAnsi="Cambria"/>
        </w:rPr>
      </w:pPr>
      <w:r w:rsidRPr="00232773">
        <w:rPr>
          <w:rFonts w:ascii="Cambria" w:hAnsi="Cambria"/>
          <w:noProof/>
        </w:rPr>
        <w:drawing>
          <wp:inline distT="0" distB="0" distL="0" distR="0" wp14:anchorId="7DAAA0BA" wp14:editId="03A5E6AB">
            <wp:extent cx="5395595" cy="2543175"/>
            <wp:effectExtent l="0" t="0" r="0" b="9525"/>
            <wp:docPr id="1732898117" name="Obrázok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98117" name="Obrázok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BC63" w14:textId="77777777" w:rsidR="000853C5" w:rsidRPr="00224DC9" w:rsidRDefault="000853C5" w:rsidP="007301B8">
      <w:pPr>
        <w:pStyle w:val="Nadpis4"/>
        <w:ind w:left="0" w:firstLine="0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Podpora</w:t>
      </w:r>
    </w:p>
    <w:p w14:paraId="706712E1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V rámci služby „Podpora“ bude Poskytovateľ dodávať vysvetlenia na otázky poverených používateľov verejného obstarávateľa a poskytovanie krátkych hodnotení vplyvu prípadných požiadaviek verejného obstarávateľa na dodaný systém.</w:t>
      </w:r>
    </w:p>
    <w:p w14:paraId="3D4C37C0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Služba Podpora bude poskytovateľom poskytovaná buď výkonom činností na mieste, zabezpečeným vzdialeným prístupom, prostredníctvom telefónu alebo elektronickou poštou v systéme verejného obstarávateľa určenom na zaznamenávanie prevádzkových</w:t>
      </w:r>
      <w:r w:rsidRPr="00224DC9">
        <w:rPr>
          <w:rFonts w:ascii="Cambria" w:eastAsia="Calibri" w:hAnsi="Cambria" w:cs="Calibri"/>
          <w:lang w:val="sk-SK"/>
        </w:rPr>
        <w:t xml:space="preserve"> incidentov (</w:t>
      </w:r>
      <w:r w:rsidRPr="00224DC9">
        <w:rPr>
          <w:rFonts w:ascii="Cambria" w:eastAsia="Cambria" w:hAnsi="Cambria" w:cs="Cambria"/>
          <w:lang w:val="sk-SK"/>
        </w:rPr>
        <w:t>IS Service Desk)</w:t>
      </w:r>
      <w:r w:rsidRPr="00224DC9">
        <w:rPr>
          <w:rFonts w:ascii="Cambria" w:hAnsi="Cambria"/>
          <w:lang w:val="sk-SK"/>
        </w:rPr>
        <w:t>.</w:t>
      </w:r>
    </w:p>
    <w:p w14:paraId="30039DE3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Služba Podpora poskytovaná poskytovateľom verejnému obstarávateľovi zahrňuje aj koordináciu a riadenie poskytovania Servisných služieb poskytovaných verejnému obstarávateľovi podľa tejto Servisnej zmluvy.</w:t>
      </w:r>
    </w:p>
    <w:p w14:paraId="15CCDED7" w14:textId="77777777" w:rsidR="000853C5" w:rsidRPr="00224DC9" w:rsidRDefault="000853C5" w:rsidP="007301B8">
      <w:pPr>
        <w:ind w:firstLine="708"/>
        <w:jc w:val="both"/>
        <w:rPr>
          <w:rFonts w:ascii="Cambria" w:hAnsi="Cambria"/>
          <w:sz w:val="20"/>
          <w:lang w:val="sk-SK"/>
        </w:rPr>
      </w:pPr>
      <w:r w:rsidRPr="00224DC9">
        <w:rPr>
          <w:rFonts w:ascii="Cambria" w:hAnsi="Cambria"/>
          <w:lang w:val="sk-SK"/>
        </w:rPr>
        <w:t>Poskytovateľ sa zaviaže poskytovať službu Podpora v súlade s nasledovnou tabuľkou:</w:t>
      </w:r>
    </w:p>
    <w:p w14:paraId="6F8D9B9E" w14:textId="77777777" w:rsidR="000853C5" w:rsidRPr="00224DC9" w:rsidRDefault="000853C5" w:rsidP="007301B8">
      <w:pPr>
        <w:pStyle w:val="Zarkazkladnhotextu"/>
        <w:spacing w:before="120"/>
        <w:ind w:left="540"/>
        <w:rPr>
          <w:rFonts w:ascii="Cambria" w:hAnsi="Cambria"/>
          <w:sz w:val="20"/>
        </w:rPr>
      </w:pPr>
    </w:p>
    <w:tbl>
      <w:tblPr>
        <w:tblStyle w:val="NBStl"/>
        <w:tblW w:w="9209" w:type="dxa"/>
        <w:tblLayout w:type="fixed"/>
        <w:tblLook w:val="0020" w:firstRow="1" w:lastRow="0" w:firstColumn="0" w:lastColumn="0" w:noHBand="0" w:noVBand="0"/>
      </w:tblPr>
      <w:tblGrid>
        <w:gridCol w:w="822"/>
        <w:gridCol w:w="3001"/>
        <w:gridCol w:w="1559"/>
        <w:gridCol w:w="850"/>
        <w:gridCol w:w="964"/>
        <w:gridCol w:w="1069"/>
        <w:gridCol w:w="907"/>
        <w:gridCol w:w="37"/>
      </w:tblGrid>
      <w:tr w:rsidR="00C23A7D" w:rsidRPr="00224DC9" w14:paraId="48222D69" w14:textId="77777777" w:rsidTr="00C23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822" w:type="dxa"/>
            <w:vMerge w:val="restart"/>
          </w:tcPr>
          <w:p w14:paraId="26980179" w14:textId="77777777" w:rsidR="00C23A7D" w:rsidRPr="00645336" w:rsidRDefault="00C23A7D" w:rsidP="007301B8">
            <w:pPr>
              <w:spacing w:before="20" w:after="2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ID</w:t>
            </w:r>
          </w:p>
        </w:tc>
        <w:tc>
          <w:tcPr>
            <w:tcW w:w="3001" w:type="dxa"/>
            <w:vMerge w:val="restart"/>
          </w:tcPr>
          <w:p w14:paraId="307D4936" w14:textId="77777777" w:rsidR="00C23A7D" w:rsidRPr="00645336" w:rsidRDefault="00C23A7D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Činnosti</w:t>
            </w:r>
          </w:p>
        </w:tc>
        <w:tc>
          <w:tcPr>
            <w:tcW w:w="5386" w:type="dxa"/>
            <w:gridSpan w:val="6"/>
            <w:noWrap/>
          </w:tcPr>
          <w:p w14:paraId="15CBD7CA" w14:textId="77777777" w:rsidR="00C23A7D" w:rsidRPr="00645336" w:rsidRDefault="00C23A7D" w:rsidP="007301B8">
            <w:pPr>
              <w:spacing w:before="20" w:after="2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Úroveň služby</w:t>
            </w:r>
          </w:p>
        </w:tc>
      </w:tr>
      <w:tr w:rsidR="00C23A7D" w:rsidRPr="00224DC9" w14:paraId="7E57B8F0" w14:textId="77777777" w:rsidTr="00C23A7D">
        <w:trPr>
          <w:gridAfter w:val="1"/>
          <w:wAfter w:w="37" w:type="dxa"/>
          <w:trHeight w:val="649"/>
        </w:trPr>
        <w:tc>
          <w:tcPr>
            <w:tcW w:w="822" w:type="dxa"/>
            <w:vMerge/>
          </w:tcPr>
          <w:p w14:paraId="6234E47E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01" w:type="dxa"/>
            <w:vMerge/>
          </w:tcPr>
          <w:p w14:paraId="222E9D54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156540A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Spúšťač</w:t>
            </w:r>
          </w:p>
        </w:tc>
        <w:tc>
          <w:tcPr>
            <w:tcW w:w="850" w:type="dxa"/>
          </w:tcPr>
          <w:p w14:paraId="17E2EA23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964" w:type="dxa"/>
          </w:tcPr>
          <w:p w14:paraId="7B39AD66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Dostupnosť služby</w:t>
            </w:r>
          </w:p>
        </w:tc>
        <w:tc>
          <w:tcPr>
            <w:tcW w:w="1069" w:type="dxa"/>
          </w:tcPr>
          <w:p w14:paraId="6EBE0961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Doba odozvy</w:t>
            </w:r>
          </w:p>
        </w:tc>
        <w:tc>
          <w:tcPr>
            <w:tcW w:w="907" w:type="dxa"/>
          </w:tcPr>
          <w:p w14:paraId="0B7ABAAA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Lehota služby</w:t>
            </w:r>
          </w:p>
        </w:tc>
      </w:tr>
      <w:tr w:rsidR="00C23A7D" w:rsidRPr="00224DC9" w14:paraId="32D3A5B5" w14:textId="77777777" w:rsidTr="00C23A7D">
        <w:trPr>
          <w:gridAfter w:val="1"/>
          <w:wAfter w:w="37" w:type="dxa"/>
          <w:trHeight w:val="300"/>
        </w:trPr>
        <w:tc>
          <w:tcPr>
            <w:tcW w:w="822" w:type="dxa"/>
            <w:noWrap/>
          </w:tcPr>
          <w:p w14:paraId="065EBD56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1.</w:t>
            </w:r>
          </w:p>
        </w:tc>
        <w:tc>
          <w:tcPr>
            <w:tcW w:w="3001" w:type="dxa"/>
          </w:tcPr>
          <w:p w14:paraId="7B924050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Poskytovanie konzultácií v rozsahu 4h / 1 požiadavka (telefonicky, elektronickou poštou, prostredníctvom IS Service Desk) súvisiacich s problematikou funkcionality, administrácie, prevádzky dodaného systému a jeho častí ako aj s chybovými hláseniami systému</w:t>
            </w:r>
          </w:p>
        </w:tc>
        <w:tc>
          <w:tcPr>
            <w:tcW w:w="1559" w:type="dxa"/>
            <w:noWrap/>
          </w:tcPr>
          <w:p w14:paraId="34BA467B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850" w:type="dxa"/>
            <w:noWrap/>
          </w:tcPr>
          <w:p w14:paraId="692EBB9E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24 x ročne </w:t>
            </w:r>
          </w:p>
        </w:tc>
        <w:tc>
          <w:tcPr>
            <w:tcW w:w="964" w:type="dxa"/>
            <w:noWrap/>
          </w:tcPr>
          <w:p w14:paraId="7EF0EAA5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</w:tc>
        <w:tc>
          <w:tcPr>
            <w:tcW w:w="1069" w:type="dxa"/>
            <w:noWrap/>
          </w:tcPr>
          <w:p w14:paraId="7B66CA01" w14:textId="77777777" w:rsidR="00C23A7D" w:rsidRPr="00645336" w:rsidRDefault="00C23A7D" w:rsidP="007301B8">
            <w:pPr>
              <w:spacing w:before="20" w:after="20" w:line="257" w:lineRule="auto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 xml:space="preserve">do 1 pracovného dňa od prijatia žiadosti </w:t>
            </w:r>
          </w:p>
          <w:p w14:paraId="31607130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07" w:type="dxa"/>
            <w:noWrap/>
          </w:tcPr>
          <w:p w14:paraId="5BE31CC5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Do 3 pracovných dní od prijatia žiadosti</w:t>
            </w:r>
          </w:p>
        </w:tc>
      </w:tr>
      <w:tr w:rsidR="00C23A7D" w:rsidRPr="00224DC9" w14:paraId="24A2710D" w14:textId="77777777" w:rsidTr="00C23A7D">
        <w:trPr>
          <w:gridAfter w:val="1"/>
          <w:wAfter w:w="37" w:type="dxa"/>
          <w:trHeight w:val="1991"/>
        </w:trPr>
        <w:tc>
          <w:tcPr>
            <w:tcW w:w="822" w:type="dxa"/>
            <w:noWrap/>
          </w:tcPr>
          <w:p w14:paraId="7C88D90E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lastRenderedPageBreak/>
              <w:t>2.</w:t>
            </w:r>
          </w:p>
        </w:tc>
        <w:tc>
          <w:tcPr>
            <w:tcW w:w="3001" w:type="dxa"/>
          </w:tcPr>
          <w:p w14:paraId="28FBF928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Poskytovanie konzultácií v rozsahu 4h / 1 požiadavka (telefonicky, elektronickou poštou, prostredníctvom IS Service Desk) súvisiacich s problematikou funkcionality, administrácie, prevádzky dodaného systému a jeho častí ako aj s chybovými hláseniami systému</w:t>
            </w:r>
          </w:p>
        </w:tc>
        <w:tc>
          <w:tcPr>
            <w:tcW w:w="1559" w:type="dxa"/>
            <w:noWrap/>
          </w:tcPr>
          <w:p w14:paraId="65922BCD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850" w:type="dxa"/>
            <w:noWrap/>
          </w:tcPr>
          <w:p w14:paraId="33A7411F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36 x ročne</w:t>
            </w:r>
          </w:p>
        </w:tc>
        <w:tc>
          <w:tcPr>
            <w:tcW w:w="964" w:type="dxa"/>
            <w:noWrap/>
          </w:tcPr>
          <w:p w14:paraId="123B9B9F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</w:tc>
        <w:tc>
          <w:tcPr>
            <w:tcW w:w="1069" w:type="dxa"/>
            <w:noWrap/>
          </w:tcPr>
          <w:p w14:paraId="13CDCCF3" w14:textId="77777777" w:rsidR="00C23A7D" w:rsidRPr="00645336" w:rsidRDefault="00C23A7D" w:rsidP="007301B8">
            <w:pPr>
              <w:spacing w:before="20" w:after="20" w:line="257" w:lineRule="auto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 xml:space="preserve">do 1 pracovného dňa od prijatia žiadosti </w:t>
            </w:r>
          </w:p>
          <w:p w14:paraId="593C43DE" w14:textId="77777777" w:rsidR="00C23A7D" w:rsidRPr="00645336" w:rsidRDefault="00C23A7D" w:rsidP="007301B8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br/>
            </w:r>
          </w:p>
          <w:p w14:paraId="78048153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07" w:type="dxa"/>
            <w:noWrap/>
          </w:tcPr>
          <w:p w14:paraId="5FE239A6" w14:textId="77777777" w:rsidR="00C23A7D" w:rsidRPr="00645336" w:rsidRDefault="00C23A7D" w:rsidP="007301B8">
            <w:pPr>
              <w:spacing w:before="20" w:after="20" w:line="257" w:lineRule="auto"/>
              <w:rPr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t>do 10 pracovných dní od prijatia žiadosti</w:t>
            </w:r>
          </w:p>
          <w:p w14:paraId="04CA6FBF" w14:textId="77777777" w:rsidR="00C23A7D" w:rsidRPr="00645336" w:rsidRDefault="00C23A7D" w:rsidP="007301B8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br/>
            </w:r>
          </w:p>
          <w:p w14:paraId="652DAF14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</w:tr>
      <w:tr w:rsidR="00C23A7D" w:rsidRPr="00224DC9" w14:paraId="7CB0DD3C" w14:textId="77777777" w:rsidTr="00C23A7D">
        <w:trPr>
          <w:gridAfter w:val="1"/>
          <w:wAfter w:w="37" w:type="dxa"/>
          <w:trHeight w:val="300"/>
        </w:trPr>
        <w:tc>
          <w:tcPr>
            <w:tcW w:w="822" w:type="dxa"/>
            <w:noWrap/>
          </w:tcPr>
          <w:p w14:paraId="06D7D0F3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3.</w:t>
            </w:r>
          </w:p>
        </w:tc>
        <w:tc>
          <w:tcPr>
            <w:tcW w:w="3001" w:type="dxa"/>
          </w:tcPr>
          <w:p w14:paraId="2077A9DC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Predkladanie návrhov na zlepšenie výkonnosti dodaného systému,  </w:t>
            </w:r>
            <w:r w:rsidRPr="00645336">
              <w:rPr>
                <w:sz w:val="22"/>
                <w:szCs w:val="22"/>
                <w:lang w:val="sk-SK"/>
              </w:rPr>
              <w:t>informovanie verejného obstarávateľa o nových technických možnostiach a riešeniach použitých produktov</w:t>
            </w:r>
          </w:p>
        </w:tc>
        <w:tc>
          <w:tcPr>
            <w:tcW w:w="1559" w:type="dxa"/>
            <w:noWrap/>
          </w:tcPr>
          <w:p w14:paraId="29BC1D83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850" w:type="dxa"/>
            <w:noWrap/>
          </w:tcPr>
          <w:p w14:paraId="30C4F419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priebežne</w:t>
            </w:r>
          </w:p>
        </w:tc>
        <w:tc>
          <w:tcPr>
            <w:tcW w:w="964" w:type="dxa"/>
            <w:noWrap/>
          </w:tcPr>
          <w:p w14:paraId="20E61114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069" w:type="dxa"/>
            <w:noWrap/>
          </w:tcPr>
          <w:p w14:paraId="3529F58C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07" w:type="dxa"/>
            <w:noWrap/>
          </w:tcPr>
          <w:p w14:paraId="25BDC810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</w:tr>
    </w:tbl>
    <w:p w14:paraId="2FDF15F7" w14:textId="77777777" w:rsidR="00D8049F" w:rsidRDefault="00D8049F" w:rsidP="00D8049F">
      <w:pPr>
        <w:ind w:firstLine="708"/>
        <w:jc w:val="both"/>
        <w:rPr>
          <w:rFonts w:ascii="Cambria" w:hAnsi="Cambria"/>
          <w:sz w:val="22"/>
          <w:szCs w:val="22"/>
          <w:lang w:val="sk-SK"/>
        </w:rPr>
      </w:pPr>
    </w:p>
    <w:p w14:paraId="43BCD343" w14:textId="5B74EE19" w:rsidR="00850DDD" w:rsidRPr="00205B9F" w:rsidRDefault="00850DDD" w:rsidP="00D8049F">
      <w:pPr>
        <w:ind w:firstLine="708"/>
        <w:jc w:val="both"/>
        <w:rPr>
          <w:rFonts w:ascii="Cambria" w:hAnsi="Cambria"/>
          <w:color w:val="FF0000"/>
        </w:rPr>
      </w:pPr>
      <w:r w:rsidRPr="00205B9F">
        <w:rPr>
          <w:rFonts w:ascii="Cambria" w:hAnsi="Cambria"/>
          <w:color w:val="FF0000"/>
          <w:lang w:val="sk-SK"/>
        </w:rPr>
        <w:t>Bezpečnostnými zisteniami sú podľa stupňa významu (utriedené od najvyššieho po najnižší):</w:t>
      </w:r>
    </w:p>
    <w:p w14:paraId="3E0195F8" w14:textId="77777777" w:rsidR="00850DDD" w:rsidRPr="00205B9F" w:rsidRDefault="00850DDD" w:rsidP="00850DDD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b/>
          <w:bCs/>
          <w:color w:val="FF0000"/>
          <w:szCs w:val="24"/>
        </w:rPr>
        <w:t>bezpečnostný incident,</w:t>
      </w:r>
    </w:p>
    <w:p w14:paraId="5DE322C2" w14:textId="77777777" w:rsidR="00850DDD" w:rsidRPr="00205B9F" w:rsidRDefault="00850DDD" w:rsidP="00850DDD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b/>
          <w:bCs/>
          <w:color w:val="FF0000"/>
          <w:szCs w:val="24"/>
        </w:rPr>
        <w:t>bezpečnostná hrozba,</w:t>
      </w:r>
    </w:p>
    <w:p w14:paraId="6DB95A3E" w14:textId="77777777" w:rsidR="00850DDD" w:rsidRPr="00205B9F" w:rsidRDefault="00850DDD" w:rsidP="00850DDD">
      <w:pPr>
        <w:pStyle w:val="Zarkazkladnhotextu"/>
        <w:numPr>
          <w:ilvl w:val="1"/>
          <w:numId w:val="44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b/>
          <w:bCs/>
          <w:color w:val="FF0000"/>
          <w:szCs w:val="24"/>
        </w:rPr>
        <w:t>podozrivá udalosť.</w:t>
      </w:r>
    </w:p>
    <w:p w14:paraId="7AC800B2" w14:textId="77777777" w:rsidR="00850DDD" w:rsidRPr="00205B9F" w:rsidRDefault="00850DDD" w:rsidP="00850DDD">
      <w:pPr>
        <w:pStyle w:val="Zarkazkladnhotextu"/>
        <w:tabs>
          <w:tab w:val="left" w:pos="567"/>
        </w:tabs>
        <w:spacing w:before="120"/>
        <w:ind w:left="567" w:firstLine="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>Uvedené pojmy sú</w:t>
      </w:r>
      <w:r w:rsidRPr="00205B9F">
        <w:rPr>
          <w:rFonts w:ascii="Cambria" w:hAnsi="Cambria"/>
          <w:b/>
          <w:bCs/>
          <w:color w:val="FF0000"/>
          <w:szCs w:val="24"/>
        </w:rPr>
        <w:t xml:space="preserve"> </w:t>
      </w:r>
      <w:r w:rsidRPr="00205B9F">
        <w:rPr>
          <w:rFonts w:ascii="Cambria" w:hAnsi="Cambria"/>
          <w:color w:val="FF0000"/>
          <w:szCs w:val="24"/>
        </w:rPr>
        <w:t>bližšie</w:t>
      </w:r>
      <w:r w:rsidRPr="00205B9F">
        <w:rPr>
          <w:rFonts w:ascii="Cambria" w:hAnsi="Cambria"/>
          <w:b/>
          <w:bCs/>
          <w:color w:val="FF0000"/>
          <w:szCs w:val="24"/>
        </w:rPr>
        <w:t xml:space="preserve"> </w:t>
      </w:r>
      <w:r w:rsidRPr="00205B9F">
        <w:rPr>
          <w:rFonts w:ascii="Cambria" w:hAnsi="Cambria"/>
          <w:color w:val="FF0000"/>
          <w:szCs w:val="24"/>
        </w:rPr>
        <w:t>definované v Prílohe č. 4: Slovník pojmov Servisnej zmluvy.</w:t>
      </w:r>
    </w:p>
    <w:p w14:paraId="05936C27" w14:textId="77777777" w:rsidR="00D8049F" w:rsidRPr="00205B9F" w:rsidRDefault="00D8049F" w:rsidP="00D8049F">
      <w:pPr>
        <w:jc w:val="both"/>
        <w:rPr>
          <w:rFonts w:ascii="Cambria" w:hAnsi="Cambria"/>
          <w:color w:val="FF0000"/>
          <w:lang w:val="sk-SK"/>
        </w:rPr>
      </w:pPr>
    </w:p>
    <w:p w14:paraId="65CF9663" w14:textId="3752FBD2" w:rsidR="00850DDD" w:rsidRPr="00205B9F" w:rsidRDefault="00850DDD" w:rsidP="00D8049F">
      <w:pPr>
        <w:ind w:firstLine="567"/>
        <w:jc w:val="both"/>
        <w:rPr>
          <w:rFonts w:ascii="Cambria" w:hAnsi="Cambria"/>
          <w:color w:val="FF0000"/>
        </w:rPr>
      </w:pPr>
      <w:r w:rsidRPr="00205B9F">
        <w:rPr>
          <w:rFonts w:ascii="Cambria" w:hAnsi="Cambria"/>
          <w:color w:val="FF0000"/>
          <w:lang w:val="sk-SK"/>
        </w:rPr>
        <w:t>Nahlasovanie a poskytovanie súčinnosti zo strany Poskytovateľa pri riešení bezpečnostných zistení:</w:t>
      </w:r>
    </w:p>
    <w:p w14:paraId="67C93931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720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>Poskytovateľ sa zaväzuje nahlásiť akékoľvek bezpečnostné zistenie ihneď po jeho identifikácii,</w:t>
      </w:r>
    </w:p>
    <w:p w14:paraId="2DA3F5DA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>Poskytovateľ sa zaväzuje poskytnúť súčinnosť pri identifikácií a analýze bezpečnostného zistenia </w:t>
      </w:r>
      <w:r w:rsidRPr="00205B9F" w:rsidDel="004676D2">
        <w:rPr>
          <w:rFonts w:ascii="Cambria" w:hAnsi="Cambria"/>
          <w:color w:val="FF0000"/>
          <w:szCs w:val="24"/>
        </w:rPr>
        <w:t xml:space="preserve"> </w:t>
      </w:r>
      <w:r w:rsidRPr="00205B9F">
        <w:rPr>
          <w:rFonts w:ascii="Cambria" w:hAnsi="Cambria"/>
          <w:color w:val="FF0000"/>
          <w:szCs w:val="24"/>
        </w:rPr>
        <w:t>v rozsahu potrebnom na jeho detailnú identifikáciu, zistenie času vzniku a trvania, rozsahu a príčiny,</w:t>
      </w:r>
    </w:p>
    <w:p w14:paraId="061B7900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>Poskytovateľ sa zaväzuje poskytnúť súčinnosť pri návrhu opatrení a termínov na odstránenie bezpečnostného zistenia, a takisto identifikovať prípadné dopady navrhnutých opatrení na funkčnosť a prevádzku systému,</w:t>
      </w:r>
    </w:p>
    <w:p w14:paraId="66FDAF71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 xml:space="preserve">Poskytovateľ sa zaväzuje poskytnúť súčinnosť pri kontrole a identifikácii zmien v IT infraštruktúre a IS objednávateľa po narušení bezpečnosti </w:t>
      </w:r>
      <w:r w:rsidRPr="00205B9F">
        <w:rPr>
          <w:rFonts w:ascii="Cambria" w:hAnsi="Cambria"/>
          <w:b/>
          <w:bCs/>
          <w:color w:val="FF0000"/>
          <w:szCs w:val="24"/>
        </w:rPr>
        <w:t>(platí len pre bezpečnostné incidenty)</w:t>
      </w:r>
      <w:r w:rsidRPr="00205B9F">
        <w:rPr>
          <w:rFonts w:ascii="Cambria" w:hAnsi="Cambria"/>
          <w:color w:val="FF0000"/>
          <w:szCs w:val="24"/>
        </w:rPr>
        <w:t>,</w:t>
      </w:r>
    </w:p>
    <w:p w14:paraId="2D4075F7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 xml:space="preserve">Poskytovateľ sa zaväzuje poskytnúť súčinnosť pri odstránení následkov vyplývajúcich z narušenia bezpečnosti </w:t>
      </w:r>
      <w:r w:rsidRPr="00205B9F">
        <w:rPr>
          <w:rFonts w:ascii="Cambria" w:hAnsi="Cambria"/>
          <w:b/>
          <w:bCs/>
          <w:color w:val="FF0000"/>
          <w:szCs w:val="24"/>
        </w:rPr>
        <w:t>(platí len pre bezpečnostné incidenty)</w:t>
      </w:r>
      <w:r w:rsidRPr="00205B9F">
        <w:rPr>
          <w:rFonts w:ascii="Cambria" w:hAnsi="Cambria"/>
          <w:color w:val="FF0000"/>
          <w:szCs w:val="24"/>
        </w:rPr>
        <w:t>,</w:t>
      </w:r>
    </w:p>
    <w:p w14:paraId="1CFA5E7F" w14:textId="77777777" w:rsidR="00850DDD" w:rsidRPr="00205B9F" w:rsidRDefault="00850DDD" w:rsidP="00850DDD">
      <w:pPr>
        <w:pStyle w:val="Zarkazkladnhotextu"/>
        <w:numPr>
          <w:ilvl w:val="2"/>
          <w:numId w:val="45"/>
        </w:numPr>
        <w:tabs>
          <w:tab w:val="left" w:pos="567"/>
        </w:tabs>
        <w:spacing w:before="120"/>
        <w:rPr>
          <w:rFonts w:ascii="Cambria" w:hAnsi="Cambria"/>
          <w:color w:val="FF0000"/>
          <w:szCs w:val="24"/>
        </w:rPr>
      </w:pPr>
      <w:r w:rsidRPr="00205B9F">
        <w:rPr>
          <w:rFonts w:ascii="Cambria" w:hAnsi="Cambria"/>
          <w:color w:val="FF0000"/>
          <w:szCs w:val="24"/>
        </w:rPr>
        <w:t>Poskytovateľ sa zaväzuje poskytnúť súčinnosť pri návrhu a realizácii opatrení na zamedzenie opakovania bezpečnostného zistenia v termíne na základe vzájomnej dohody.</w:t>
      </w:r>
    </w:p>
    <w:p w14:paraId="101E3B45" w14:textId="77777777" w:rsidR="000853C5" w:rsidRPr="00224DC9" w:rsidRDefault="000853C5" w:rsidP="00514569">
      <w:pPr>
        <w:pStyle w:val="Nadpis4"/>
        <w:ind w:left="0" w:firstLine="0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lastRenderedPageBreak/>
        <w:t>Údržba</w:t>
      </w:r>
    </w:p>
    <w:p w14:paraId="72D48D8C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Pod službou "Údržba" sa rozumie riešenie a odstraňovanie prevádzkových incidentov podľa závažnosti ako „Zásadný incident“ a „Závažný incident“ a „Nepodstatný incident“ bez ohľadu na to, či príčinou prevádzkového incidentu sú zmeny a/alebo rozšírenia dodaného systému realizované poskytovateľom a/alebo verejným obstarávateľom.</w:t>
      </w:r>
    </w:p>
    <w:p w14:paraId="5F4718A3" w14:textId="77777777" w:rsidR="000853C5" w:rsidRDefault="000853C5" w:rsidP="007301B8">
      <w:pPr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Poskytovateľ sa zaviaže poskytovať službu Údržba v súlade s nasledovnou tabuľkou:</w:t>
      </w:r>
    </w:p>
    <w:p w14:paraId="444EE8DC" w14:textId="77777777" w:rsidR="007702FD" w:rsidRPr="00224DC9" w:rsidRDefault="007702FD" w:rsidP="007301B8">
      <w:pPr>
        <w:jc w:val="both"/>
        <w:rPr>
          <w:rFonts w:ascii="Cambria" w:hAnsi="Cambria"/>
          <w:lang w:val="sk-SK"/>
        </w:rPr>
      </w:pPr>
    </w:p>
    <w:tbl>
      <w:tblPr>
        <w:tblStyle w:val="NBStl"/>
        <w:tblW w:w="9171" w:type="dxa"/>
        <w:tblLayout w:type="fixed"/>
        <w:tblLook w:val="0020" w:firstRow="1" w:lastRow="0" w:firstColumn="0" w:lastColumn="0" w:noHBand="0" w:noVBand="0"/>
      </w:tblPr>
      <w:tblGrid>
        <w:gridCol w:w="567"/>
        <w:gridCol w:w="3261"/>
        <w:gridCol w:w="1134"/>
        <w:gridCol w:w="708"/>
        <w:gridCol w:w="1418"/>
        <w:gridCol w:w="992"/>
        <w:gridCol w:w="987"/>
        <w:gridCol w:w="104"/>
      </w:tblGrid>
      <w:tr w:rsidR="00C23A7D" w:rsidRPr="00645336" w14:paraId="53D0176E" w14:textId="77777777" w:rsidTr="00C23A7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4" w:type="dxa"/>
          <w:trHeight w:val="240"/>
        </w:trPr>
        <w:tc>
          <w:tcPr>
            <w:tcW w:w="567" w:type="dxa"/>
            <w:vMerge w:val="restart"/>
          </w:tcPr>
          <w:p w14:paraId="45890AE4" w14:textId="77777777" w:rsidR="00C23A7D" w:rsidRPr="00645336" w:rsidRDefault="00C23A7D" w:rsidP="007301B8">
            <w:pPr>
              <w:spacing w:before="20" w:after="2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ID</w:t>
            </w:r>
          </w:p>
        </w:tc>
        <w:tc>
          <w:tcPr>
            <w:tcW w:w="3261" w:type="dxa"/>
            <w:vMerge w:val="restart"/>
          </w:tcPr>
          <w:p w14:paraId="3573B953" w14:textId="77777777" w:rsidR="00C23A7D" w:rsidRPr="00645336" w:rsidRDefault="00C23A7D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Činnosti</w:t>
            </w:r>
          </w:p>
        </w:tc>
        <w:tc>
          <w:tcPr>
            <w:tcW w:w="5239" w:type="dxa"/>
            <w:gridSpan w:val="5"/>
            <w:noWrap/>
          </w:tcPr>
          <w:p w14:paraId="22C0A6EA" w14:textId="77777777" w:rsidR="00C23A7D" w:rsidRPr="00645336" w:rsidRDefault="00C23A7D" w:rsidP="007301B8">
            <w:pPr>
              <w:spacing w:before="20" w:after="2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Úroveň služby</w:t>
            </w:r>
          </w:p>
        </w:tc>
      </w:tr>
      <w:tr w:rsidR="00C23A7D" w:rsidRPr="00224DC9" w14:paraId="3106217E" w14:textId="77777777" w:rsidTr="00C23A7D">
        <w:trPr>
          <w:trHeight w:val="649"/>
        </w:trPr>
        <w:tc>
          <w:tcPr>
            <w:tcW w:w="567" w:type="dxa"/>
            <w:vMerge/>
          </w:tcPr>
          <w:p w14:paraId="711FA82E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  <w:vMerge/>
          </w:tcPr>
          <w:p w14:paraId="6683E904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</w:tcPr>
          <w:p w14:paraId="6D8F257A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Spúšťač</w:t>
            </w:r>
          </w:p>
        </w:tc>
        <w:tc>
          <w:tcPr>
            <w:tcW w:w="708" w:type="dxa"/>
          </w:tcPr>
          <w:p w14:paraId="279DB029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1418" w:type="dxa"/>
          </w:tcPr>
          <w:p w14:paraId="1341307F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Dostupnosť služby</w:t>
            </w:r>
          </w:p>
        </w:tc>
        <w:tc>
          <w:tcPr>
            <w:tcW w:w="992" w:type="dxa"/>
          </w:tcPr>
          <w:p w14:paraId="46EE35A7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Doba odozvy</w:t>
            </w:r>
          </w:p>
        </w:tc>
        <w:tc>
          <w:tcPr>
            <w:tcW w:w="1091" w:type="dxa"/>
            <w:gridSpan w:val="2"/>
          </w:tcPr>
          <w:p w14:paraId="3B8D2661" w14:textId="77777777" w:rsidR="00C23A7D" w:rsidRPr="00645336" w:rsidRDefault="00C23A7D" w:rsidP="007301B8">
            <w:pPr>
              <w:spacing w:before="20" w:after="20"/>
              <w:rPr>
                <w:rFonts w:cs="Arial"/>
                <w:b/>
                <w:bCs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bCs/>
                <w:sz w:val="22"/>
                <w:szCs w:val="22"/>
                <w:lang w:val="sk-SK"/>
              </w:rPr>
              <w:t>Lehota služby</w:t>
            </w:r>
          </w:p>
        </w:tc>
      </w:tr>
      <w:tr w:rsidR="00C23A7D" w:rsidRPr="00224DC9" w14:paraId="4BD51540" w14:textId="77777777" w:rsidTr="00C23A7D">
        <w:trPr>
          <w:trHeight w:val="250"/>
        </w:trPr>
        <w:tc>
          <w:tcPr>
            <w:tcW w:w="567" w:type="dxa"/>
            <w:noWrap/>
          </w:tcPr>
          <w:p w14:paraId="533FB8D6" w14:textId="77777777" w:rsidR="00C23A7D" w:rsidRPr="00645336" w:rsidRDefault="00C23A7D" w:rsidP="007301B8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4EA2D052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Riešenie a odstránenie incidentov klasifikovaných. ako: </w:t>
            </w: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„Zásadný incident</w:t>
            </w:r>
            <w:r w:rsidRPr="00645336">
              <w:rPr>
                <w:rFonts w:cs="Arial"/>
                <w:sz w:val="22"/>
                <w:szCs w:val="22"/>
                <w:lang w:val="sk-SK"/>
              </w:rPr>
              <w:t>“ buď výkonom činností na mieste, po vzájomnej dohode verejného obstarávateľa a poskytovateľa zabezpečeným vzdialeným prístupom</w:t>
            </w:r>
          </w:p>
        </w:tc>
        <w:tc>
          <w:tcPr>
            <w:tcW w:w="1134" w:type="dxa"/>
            <w:noWrap/>
          </w:tcPr>
          <w:p w14:paraId="571EA6D0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Nahlásenie incidentu</w:t>
            </w:r>
          </w:p>
        </w:tc>
        <w:tc>
          <w:tcPr>
            <w:tcW w:w="708" w:type="dxa"/>
            <w:noWrap/>
          </w:tcPr>
          <w:p w14:paraId="4DF26F46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noWrap/>
          </w:tcPr>
          <w:p w14:paraId="6BD5F312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v pracovnej dobe</w:t>
            </w:r>
          </w:p>
        </w:tc>
        <w:tc>
          <w:tcPr>
            <w:tcW w:w="992" w:type="dxa"/>
            <w:noWrap/>
          </w:tcPr>
          <w:p w14:paraId="09DAE00B" w14:textId="77777777" w:rsidR="00C23A7D" w:rsidRPr="00645336" w:rsidRDefault="00C23A7D" w:rsidP="007301B8">
            <w:pPr>
              <w:spacing w:before="20" w:after="20" w:line="257" w:lineRule="auto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 xml:space="preserve">do 2 hodín od nahlásenia </w:t>
            </w:r>
          </w:p>
          <w:p w14:paraId="2CD1CC0E" w14:textId="77777777" w:rsidR="00C23A7D" w:rsidRPr="00645336" w:rsidRDefault="00C23A7D" w:rsidP="007301B8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br/>
            </w:r>
          </w:p>
          <w:p w14:paraId="078E088F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091" w:type="dxa"/>
            <w:gridSpan w:val="2"/>
            <w:noWrap/>
          </w:tcPr>
          <w:p w14:paraId="6EEB16C2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do 1 pracovného dňa od nahlásenia</w:t>
            </w:r>
          </w:p>
        </w:tc>
      </w:tr>
      <w:tr w:rsidR="00C23A7D" w:rsidRPr="00224DC9" w14:paraId="56688194" w14:textId="77777777" w:rsidTr="00C23A7D">
        <w:trPr>
          <w:trHeight w:val="250"/>
        </w:trPr>
        <w:tc>
          <w:tcPr>
            <w:tcW w:w="567" w:type="dxa"/>
            <w:noWrap/>
          </w:tcPr>
          <w:p w14:paraId="489D0CFE" w14:textId="77777777" w:rsidR="00C23A7D" w:rsidRPr="00645336" w:rsidRDefault="00C23A7D" w:rsidP="007301B8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4C0856D2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Riešenie a odstránenie incidentov klasifikovaných ako: </w:t>
            </w: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„Závažný incident</w:t>
            </w:r>
            <w:r w:rsidRPr="00645336">
              <w:rPr>
                <w:rFonts w:cs="Arial"/>
                <w:sz w:val="22"/>
                <w:szCs w:val="22"/>
                <w:lang w:val="sk-SK"/>
              </w:rPr>
              <w:t>“ buď výkonom činností na mieste, po vzájomnej dohode verejného obstarávateľa a poskytovateľa zabezpečeným vzdialeným prístupom</w:t>
            </w:r>
          </w:p>
        </w:tc>
        <w:tc>
          <w:tcPr>
            <w:tcW w:w="1134" w:type="dxa"/>
            <w:noWrap/>
          </w:tcPr>
          <w:p w14:paraId="76F79B5D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Nahlásenie incidentu</w:t>
            </w:r>
          </w:p>
        </w:tc>
        <w:tc>
          <w:tcPr>
            <w:tcW w:w="708" w:type="dxa"/>
            <w:noWrap/>
          </w:tcPr>
          <w:p w14:paraId="14104044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noWrap/>
          </w:tcPr>
          <w:p w14:paraId="5786D2A9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v pracovnej dobe</w:t>
            </w:r>
          </w:p>
          <w:p w14:paraId="6A4C71FC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noWrap/>
          </w:tcPr>
          <w:p w14:paraId="11BDD386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t xml:space="preserve">do </w:t>
            </w: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4 hodín od nahlásenia</w:t>
            </w:r>
          </w:p>
        </w:tc>
        <w:tc>
          <w:tcPr>
            <w:tcW w:w="1091" w:type="dxa"/>
            <w:gridSpan w:val="2"/>
            <w:noWrap/>
          </w:tcPr>
          <w:p w14:paraId="3A6882A3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t>do 2 pracovných dní od nahlásenia</w:t>
            </w:r>
          </w:p>
        </w:tc>
      </w:tr>
      <w:tr w:rsidR="00C23A7D" w:rsidRPr="00224DC9" w14:paraId="4E9D41E9" w14:textId="77777777" w:rsidTr="00C23A7D">
        <w:trPr>
          <w:trHeight w:val="300"/>
        </w:trPr>
        <w:tc>
          <w:tcPr>
            <w:tcW w:w="567" w:type="dxa"/>
            <w:noWrap/>
          </w:tcPr>
          <w:p w14:paraId="023FE6DB" w14:textId="77777777" w:rsidR="00C23A7D" w:rsidRPr="00645336" w:rsidRDefault="00C23A7D" w:rsidP="007301B8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68881C19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Riešenie a odstránenie incidentov klasifikovaných ako: </w:t>
            </w: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 xml:space="preserve">„Nepodstatný incident“ </w:t>
            </w:r>
            <w:r w:rsidRPr="00645336">
              <w:rPr>
                <w:rFonts w:cs="Arial"/>
                <w:sz w:val="22"/>
                <w:szCs w:val="22"/>
                <w:lang w:val="sk-SK"/>
              </w:rPr>
              <w:t>buď výkonom činností na mieste, po vzájomnej dohode verejného obstarávateľa a poskytovateľa zabezpečeným vzdialeným prístupom</w:t>
            </w:r>
          </w:p>
        </w:tc>
        <w:tc>
          <w:tcPr>
            <w:tcW w:w="1134" w:type="dxa"/>
            <w:noWrap/>
          </w:tcPr>
          <w:p w14:paraId="48AAE24C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Nahlásenie incidentu</w:t>
            </w:r>
          </w:p>
        </w:tc>
        <w:tc>
          <w:tcPr>
            <w:tcW w:w="708" w:type="dxa"/>
            <w:noWrap/>
          </w:tcPr>
          <w:p w14:paraId="5EB847B6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noWrap/>
          </w:tcPr>
          <w:p w14:paraId="552B4020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v pracovnej dobe</w:t>
            </w:r>
          </w:p>
          <w:p w14:paraId="7747FE43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noWrap/>
          </w:tcPr>
          <w:p w14:paraId="1FF24D19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t>do 2 pracovných dní od nahlásenia</w:t>
            </w:r>
          </w:p>
        </w:tc>
        <w:tc>
          <w:tcPr>
            <w:tcW w:w="1091" w:type="dxa"/>
            <w:gridSpan w:val="2"/>
            <w:noWrap/>
          </w:tcPr>
          <w:p w14:paraId="2D847C31" w14:textId="77777777" w:rsidR="00C23A7D" w:rsidRPr="00645336" w:rsidRDefault="00C23A7D" w:rsidP="007301B8">
            <w:pPr>
              <w:spacing w:before="20" w:after="2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sz w:val="22"/>
                <w:szCs w:val="22"/>
                <w:lang w:val="sk-SK"/>
              </w:rPr>
              <w:t>do 7 pracovných dní od nahlásenia</w:t>
            </w:r>
          </w:p>
        </w:tc>
      </w:tr>
      <w:tr w:rsidR="00C23A7D" w:rsidRPr="00224DC9" w14:paraId="2B107872" w14:textId="77777777" w:rsidTr="00C23A7D">
        <w:trPr>
          <w:trHeight w:val="300"/>
        </w:trPr>
        <w:tc>
          <w:tcPr>
            <w:tcW w:w="567" w:type="dxa"/>
            <w:noWrap/>
          </w:tcPr>
          <w:p w14:paraId="01F666E2" w14:textId="77777777" w:rsidR="00C23A7D" w:rsidRPr="00645336" w:rsidRDefault="00C23A7D" w:rsidP="007301B8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64D59A68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Súčinnosť pri nasadení verejným obstarávateľom odsúhlasených nových verzií a opráv programového vybavenia dodaného systému </w:t>
            </w:r>
          </w:p>
        </w:tc>
        <w:tc>
          <w:tcPr>
            <w:tcW w:w="1134" w:type="dxa"/>
            <w:noWrap/>
          </w:tcPr>
          <w:p w14:paraId="71916B5C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708" w:type="dxa"/>
            <w:noWrap/>
          </w:tcPr>
          <w:p w14:paraId="72D0A89F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dohodou</w:t>
            </w:r>
          </w:p>
        </w:tc>
        <w:tc>
          <w:tcPr>
            <w:tcW w:w="1418" w:type="dxa"/>
            <w:noWrap/>
          </w:tcPr>
          <w:p w14:paraId="7789F271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noWrap/>
          </w:tcPr>
          <w:p w14:paraId="0226D07E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091" w:type="dxa"/>
            <w:gridSpan w:val="2"/>
            <w:noWrap/>
          </w:tcPr>
          <w:p w14:paraId="26191391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dohodou</w:t>
            </w:r>
          </w:p>
        </w:tc>
      </w:tr>
      <w:tr w:rsidR="00C23A7D" w:rsidRPr="00224DC9" w14:paraId="4D60D8A5" w14:textId="77777777" w:rsidTr="00C23A7D">
        <w:trPr>
          <w:trHeight w:val="300"/>
        </w:trPr>
        <w:tc>
          <w:tcPr>
            <w:tcW w:w="567" w:type="dxa"/>
            <w:noWrap/>
          </w:tcPr>
          <w:p w14:paraId="31E984EE" w14:textId="77777777" w:rsidR="00C23A7D" w:rsidRPr="00645336" w:rsidRDefault="00C23A7D" w:rsidP="007301B8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669D7E4B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Súčinnosť pri nasadení verejným obstarávateľom odsúhlasených opravných balíčkov (patch) do SW tretích strán. </w:t>
            </w:r>
          </w:p>
        </w:tc>
        <w:tc>
          <w:tcPr>
            <w:tcW w:w="1134" w:type="dxa"/>
            <w:noWrap/>
          </w:tcPr>
          <w:p w14:paraId="4302E94C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708" w:type="dxa"/>
            <w:noWrap/>
          </w:tcPr>
          <w:p w14:paraId="61BCF195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dohodou</w:t>
            </w:r>
          </w:p>
        </w:tc>
        <w:tc>
          <w:tcPr>
            <w:tcW w:w="1418" w:type="dxa"/>
            <w:noWrap/>
          </w:tcPr>
          <w:p w14:paraId="3CADCE15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noWrap/>
          </w:tcPr>
          <w:p w14:paraId="72C7C8CD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091" w:type="dxa"/>
            <w:gridSpan w:val="2"/>
            <w:noWrap/>
          </w:tcPr>
          <w:p w14:paraId="756F641E" w14:textId="77777777" w:rsidR="00C23A7D" w:rsidRPr="00645336" w:rsidRDefault="00C23A7D" w:rsidP="007301B8">
            <w:pPr>
              <w:spacing w:before="20" w:after="2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dohodou</w:t>
            </w:r>
          </w:p>
        </w:tc>
      </w:tr>
    </w:tbl>
    <w:p w14:paraId="176414A0" w14:textId="77777777" w:rsidR="000853C5" w:rsidRPr="00224DC9" w:rsidRDefault="000853C5" w:rsidP="007301B8">
      <w:pPr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ab/>
      </w:r>
    </w:p>
    <w:p w14:paraId="7577FA11" w14:textId="77777777" w:rsidR="000853C5" w:rsidRPr="00224DC9" w:rsidRDefault="000853C5" w:rsidP="007301B8">
      <w:pPr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Profylaktiku si bude verejný obstarávateľ zabezpečovať sám.</w:t>
      </w:r>
    </w:p>
    <w:p w14:paraId="2D5C6980" w14:textId="77777777" w:rsidR="00514569" w:rsidRDefault="00514569" w:rsidP="00514569">
      <w:pPr>
        <w:pStyle w:val="Nadpis4"/>
        <w:ind w:left="0" w:firstLine="0"/>
        <w:jc w:val="both"/>
        <w:rPr>
          <w:rFonts w:ascii="Cambria" w:hAnsi="Cambria"/>
          <w:lang w:val="sk-SK"/>
        </w:rPr>
      </w:pPr>
    </w:p>
    <w:p w14:paraId="16C14402" w14:textId="5FE69E86" w:rsidR="000853C5" w:rsidRPr="00224DC9" w:rsidRDefault="000853C5" w:rsidP="00514569">
      <w:pPr>
        <w:pStyle w:val="Nadpis4"/>
        <w:ind w:left="0" w:firstLine="0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Konzultácie na pracovisku verejného obstarávateľa</w:t>
      </w:r>
    </w:p>
    <w:p w14:paraId="0F5AAE83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Služba Konzultácie na pracovisku verejného obstarávateľa bude poskytovateľom poskytovaná na základe podmienok uvedených v písomnej objednávke formou priamej účasti poskytovateľa na pracovisku verejného obstarávateľa alebo online na základe podmienok uvedených v objednávke.</w:t>
      </w:r>
    </w:p>
    <w:p w14:paraId="24E58A65" w14:textId="58720C00" w:rsidR="000853C5" w:rsidRPr="00224DC9" w:rsidRDefault="000853C5" w:rsidP="007301B8">
      <w:pPr>
        <w:spacing w:line="257" w:lineRule="auto"/>
        <w:jc w:val="both"/>
        <w:rPr>
          <w:rFonts w:ascii="Cambria" w:eastAsia="Calibri" w:hAnsi="Cambria" w:cs="Calibri"/>
          <w:lang w:val="sk-SK"/>
        </w:rPr>
      </w:pPr>
      <w:r w:rsidRPr="00224DC9">
        <w:rPr>
          <w:rFonts w:ascii="Cambria" w:eastAsia="Calibri" w:hAnsi="Cambria" w:cs="Calibri"/>
          <w:lang w:val="sk-SK"/>
        </w:rPr>
        <w:t xml:space="preserve">Poskytovateľ sa zaviaže poskytnúť verejnému obstarávateľovi službu Konzultácie na pracovisku verejného obstarávateľa v rozsahu maximálne do </w:t>
      </w:r>
      <w:r w:rsidR="00540857" w:rsidRPr="00A92043">
        <w:rPr>
          <w:rFonts w:ascii="Cambria" w:eastAsia="Calibri" w:hAnsi="Cambria" w:cs="Calibri"/>
          <w:lang w:val="sk-SK"/>
        </w:rPr>
        <w:t>60</w:t>
      </w:r>
      <w:r w:rsidRPr="00224DC9">
        <w:rPr>
          <w:rFonts w:ascii="Cambria" w:eastAsia="Calibri" w:hAnsi="Cambria" w:cs="Calibri"/>
          <w:lang w:val="sk-SK"/>
        </w:rPr>
        <w:t xml:space="preserve"> </w:t>
      </w:r>
      <w:r w:rsidR="009B7270">
        <w:rPr>
          <w:rFonts w:ascii="Cambria" w:eastAsia="Calibri" w:hAnsi="Cambria" w:cs="Calibri"/>
          <w:lang w:val="sk-SK"/>
        </w:rPr>
        <w:t>osobodní</w:t>
      </w:r>
      <w:r w:rsidRPr="00224DC9">
        <w:rPr>
          <w:rFonts w:ascii="Cambria" w:eastAsia="Calibri" w:hAnsi="Cambria" w:cs="Calibri"/>
          <w:lang w:val="sk-SK"/>
        </w:rPr>
        <w:t xml:space="preserve"> počas trvania servisnej zmluvy, v prípade predĺženia servisnej zmluvy </w:t>
      </w:r>
      <w:r w:rsidR="00550122">
        <w:rPr>
          <w:rFonts w:ascii="Cambria" w:eastAsia="Calibri" w:hAnsi="Cambria" w:cs="Calibri"/>
          <w:lang w:val="sk-SK"/>
        </w:rPr>
        <w:t>30</w:t>
      </w:r>
      <w:r w:rsidR="00550122" w:rsidRPr="00224DC9">
        <w:rPr>
          <w:rFonts w:ascii="Cambria" w:eastAsia="Calibri" w:hAnsi="Cambria" w:cs="Calibri"/>
          <w:lang w:val="sk-SK"/>
        </w:rPr>
        <w:t xml:space="preserve"> </w:t>
      </w:r>
      <w:r w:rsidR="001A1A81">
        <w:rPr>
          <w:rFonts w:ascii="Cambria" w:eastAsia="Calibri" w:hAnsi="Cambria" w:cs="Calibri"/>
          <w:lang w:val="sk-SK"/>
        </w:rPr>
        <w:t>osobodní</w:t>
      </w:r>
      <w:r w:rsidRPr="00224DC9">
        <w:rPr>
          <w:rFonts w:ascii="Cambria" w:eastAsia="Calibri" w:hAnsi="Cambria" w:cs="Calibri"/>
          <w:lang w:val="sk-SK"/>
        </w:rPr>
        <w:t xml:space="preserve"> na dva roky. </w:t>
      </w:r>
    </w:p>
    <w:p w14:paraId="14FAFE04" w14:textId="77777777" w:rsidR="000853C5" w:rsidRPr="00224DC9" w:rsidRDefault="000853C5" w:rsidP="007301B8">
      <w:pPr>
        <w:jc w:val="both"/>
        <w:rPr>
          <w:rFonts w:ascii="Cambria" w:hAnsi="Cambria"/>
          <w:lang w:val="sk-SK"/>
        </w:rPr>
      </w:pPr>
    </w:p>
    <w:tbl>
      <w:tblPr>
        <w:tblStyle w:val="NBStl"/>
        <w:tblW w:w="9776" w:type="dxa"/>
        <w:tblLayout w:type="fixed"/>
        <w:tblLook w:val="0020" w:firstRow="1" w:lastRow="0" w:firstColumn="0" w:lastColumn="0" w:noHBand="0" w:noVBand="0"/>
      </w:tblPr>
      <w:tblGrid>
        <w:gridCol w:w="567"/>
        <w:gridCol w:w="2552"/>
        <w:gridCol w:w="1129"/>
        <w:gridCol w:w="1559"/>
        <w:gridCol w:w="992"/>
        <w:gridCol w:w="1134"/>
        <w:gridCol w:w="1843"/>
      </w:tblGrid>
      <w:tr w:rsidR="00C23A7D" w:rsidRPr="00645336" w14:paraId="2D9C1568" w14:textId="77777777" w:rsidTr="007702FD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77" w:type="dxa"/>
          <w:trHeight w:val="240"/>
        </w:trPr>
        <w:tc>
          <w:tcPr>
            <w:tcW w:w="567" w:type="dxa"/>
            <w:vMerge w:val="restart"/>
          </w:tcPr>
          <w:p w14:paraId="7BEF9134" w14:textId="77777777" w:rsidR="00C23A7D" w:rsidRPr="00645336" w:rsidRDefault="00C23A7D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ID</w:t>
            </w:r>
          </w:p>
        </w:tc>
        <w:tc>
          <w:tcPr>
            <w:tcW w:w="2552" w:type="dxa"/>
            <w:vMerge w:val="restart"/>
          </w:tcPr>
          <w:p w14:paraId="30A2691C" w14:textId="77777777" w:rsidR="00C23A7D" w:rsidRPr="00645336" w:rsidRDefault="00C23A7D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Činnosti</w:t>
            </w:r>
          </w:p>
        </w:tc>
        <w:tc>
          <w:tcPr>
            <w:tcW w:w="3680" w:type="dxa"/>
            <w:gridSpan w:val="3"/>
            <w:noWrap/>
          </w:tcPr>
          <w:p w14:paraId="62F6B574" w14:textId="77777777" w:rsidR="00C23A7D" w:rsidRPr="00645336" w:rsidRDefault="00C23A7D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Úroveň služby</w:t>
            </w:r>
          </w:p>
        </w:tc>
      </w:tr>
      <w:tr w:rsidR="00C23A7D" w:rsidRPr="00224DC9" w14:paraId="396D4638" w14:textId="77777777" w:rsidTr="007702FD">
        <w:trPr>
          <w:trHeight w:val="649"/>
        </w:trPr>
        <w:tc>
          <w:tcPr>
            <w:tcW w:w="567" w:type="dxa"/>
            <w:vMerge/>
          </w:tcPr>
          <w:p w14:paraId="57EE10B2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vMerge/>
          </w:tcPr>
          <w:p w14:paraId="6303554D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1129" w:type="dxa"/>
          </w:tcPr>
          <w:p w14:paraId="11EC669C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Spúšťač</w:t>
            </w:r>
          </w:p>
        </w:tc>
        <w:tc>
          <w:tcPr>
            <w:tcW w:w="1559" w:type="dxa"/>
          </w:tcPr>
          <w:p w14:paraId="352916E9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992" w:type="dxa"/>
          </w:tcPr>
          <w:p w14:paraId="0C6E5F1D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Dostupnosť služby</w:t>
            </w:r>
          </w:p>
        </w:tc>
        <w:tc>
          <w:tcPr>
            <w:tcW w:w="1134" w:type="dxa"/>
          </w:tcPr>
          <w:p w14:paraId="014397EE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Doba odozvy</w:t>
            </w:r>
          </w:p>
        </w:tc>
        <w:tc>
          <w:tcPr>
            <w:tcW w:w="1843" w:type="dxa"/>
          </w:tcPr>
          <w:p w14:paraId="19284860" w14:textId="77777777" w:rsidR="00C23A7D" w:rsidRPr="00645336" w:rsidRDefault="00C23A7D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Lehota služby</w:t>
            </w:r>
          </w:p>
        </w:tc>
      </w:tr>
      <w:tr w:rsidR="00C23A7D" w:rsidRPr="00224DC9" w14:paraId="473BB4F8" w14:textId="77777777" w:rsidTr="007702FD">
        <w:trPr>
          <w:trHeight w:val="300"/>
        </w:trPr>
        <w:tc>
          <w:tcPr>
            <w:tcW w:w="567" w:type="dxa"/>
            <w:noWrap/>
          </w:tcPr>
          <w:p w14:paraId="302BB24A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1.</w:t>
            </w:r>
          </w:p>
        </w:tc>
        <w:tc>
          <w:tcPr>
            <w:tcW w:w="2552" w:type="dxa"/>
          </w:tcPr>
          <w:p w14:paraId="17639E3F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Konzultácie priamo na pracovisku verejného obstarávateľa </w:t>
            </w:r>
            <w:bookmarkStart w:id="2" w:name="_Hlk104798971"/>
            <w:r w:rsidRPr="00645336">
              <w:rPr>
                <w:rFonts w:cs="Arial"/>
                <w:sz w:val="22"/>
                <w:szCs w:val="22"/>
                <w:lang w:val="sk-SK"/>
              </w:rPr>
              <w:t>alebo online na základe podmienok uvedených v objednávke</w:t>
            </w:r>
            <w:bookmarkEnd w:id="2"/>
          </w:p>
        </w:tc>
        <w:tc>
          <w:tcPr>
            <w:tcW w:w="1129" w:type="dxa"/>
            <w:noWrap/>
          </w:tcPr>
          <w:p w14:paraId="63BA96CC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Objednávka</w:t>
            </w:r>
          </w:p>
        </w:tc>
        <w:tc>
          <w:tcPr>
            <w:tcW w:w="1559" w:type="dxa"/>
            <w:noWrap/>
          </w:tcPr>
          <w:p w14:paraId="08380DFE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noWrap/>
          </w:tcPr>
          <w:p w14:paraId="0F0D9914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</w:tc>
        <w:tc>
          <w:tcPr>
            <w:tcW w:w="1134" w:type="dxa"/>
            <w:noWrap/>
          </w:tcPr>
          <w:p w14:paraId="17B656E1" w14:textId="77777777" w:rsidR="00C23A7D" w:rsidRPr="00645336" w:rsidRDefault="00C23A7D" w:rsidP="007301B8">
            <w:pPr>
              <w:spacing w:before="40" w:after="4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do 2 pracovných dní od prijatia objednávky</w:t>
            </w:r>
          </w:p>
        </w:tc>
        <w:tc>
          <w:tcPr>
            <w:tcW w:w="1843" w:type="dxa"/>
            <w:noWrap/>
          </w:tcPr>
          <w:p w14:paraId="492FBB92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Podľa objednávky</w:t>
            </w:r>
          </w:p>
        </w:tc>
      </w:tr>
      <w:tr w:rsidR="00C23A7D" w:rsidRPr="00224DC9" w14:paraId="6C9B15F9" w14:textId="77777777" w:rsidTr="007702FD">
        <w:trPr>
          <w:trHeight w:val="300"/>
        </w:trPr>
        <w:tc>
          <w:tcPr>
            <w:tcW w:w="567" w:type="dxa"/>
            <w:noWrap/>
          </w:tcPr>
          <w:p w14:paraId="589A5B45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2,</w:t>
            </w:r>
          </w:p>
        </w:tc>
        <w:tc>
          <w:tcPr>
            <w:tcW w:w="2552" w:type="dxa"/>
          </w:tcPr>
          <w:p w14:paraId="34AC435A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Poskytnutie podpory a súčinnosti pri nasadzovaní mimoriadnych technologických zmien alebo v prípade havarijných stavov</w:t>
            </w:r>
          </w:p>
        </w:tc>
        <w:tc>
          <w:tcPr>
            <w:tcW w:w="1129" w:type="dxa"/>
            <w:noWrap/>
          </w:tcPr>
          <w:p w14:paraId="4FA0B301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Objednávka</w:t>
            </w:r>
          </w:p>
        </w:tc>
        <w:tc>
          <w:tcPr>
            <w:tcW w:w="1559" w:type="dxa"/>
            <w:noWrap/>
          </w:tcPr>
          <w:p w14:paraId="63000900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3 x ročne</w:t>
            </w:r>
          </w:p>
        </w:tc>
        <w:tc>
          <w:tcPr>
            <w:tcW w:w="992" w:type="dxa"/>
            <w:noWrap/>
          </w:tcPr>
          <w:p w14:paraId="50918614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mimo pracovnej doby</w:t>
            </w:r>
          </w:p>
        </w:tc>
        <w:tc>
          <w:tcPr>
            <w:tcW w:w="1134" w:type="dxa"/>
            <w:noWrap/>
          </w:tcPr>
          <w:p w14:paraId="79D1847B" w14:textId="77777777" w:rsidR="00C23A7D" w:rsidRPr="00645336" w:rsidRDefault="00C23A7D" w:rsidP="007301B8">
            <w:pPr>
              <w:spacing w:before="40" w:after="4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 xml:space="preserve"> do 2 pracovných dní od prijatia objednávky</w:t>
            </w:r>
          </w:p>
        </w:tc>
        <w:tc>
          <w:tcPr>
            <w:tcW w:w="1843" w:type="dxa"/>
            <w:noWrap/>
          </w:tcPr>
          <w:p w14:paraId="75D44D01" w14:textId="77777777" w:rsidR="00C23A7D" w:rsidRPr="00645336" w:rsidRDefault="00C23A7D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Podľa objednávky</w:t>
            </w:r>
          </w:p>
        </w:tc>
      </w:tr>
    </w:tbl>
    <w:p w14:paraId="14A6DFFB" w14:textId="77777777" w:rsidR="000853C5" w:rsidRPr="00224DC9" w:rsidRDefault="000853C5" w:rsidP="007301B8">
      <w:pPr>
        <w:jc w:val="both"/>
        <w:rPr>
          <w:rFonts w:ascii="Cambria" w:hAnsi="Cambria"/>
          <w:lang w:val="sk-SK"/>
        </w:rPr>
      </w:pPr>
    </w:p>
    <w:p w14:paraId="52871F22" w14:textId="20C602CE" w:rsidR="00013EB0" w:rsidRPr="00013EB0" w:rsidRDefault="000853C5" w:rsidP="00013EB0">
      <w:pPr>
        <w:pStyle w:val="Nadpis4"/>
        <w:ind w:left="0" w:firstLine="0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Školenia</w:t>
      </w:r>
    </w:p>
    <w:p w14:paraId="3E82513D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Pod pojmom "Školenie" sa rozumie služba, ktorá umožňuje verejnému obstarávateľovi objednať školenie súvisiace s používaním dodaného systému, prípadne jeho časti, prípadne jeho úpravy, pričom poskytovateľ vykoná toto školenie podľa požiadaviek verejného obstarávateľa.</w:t>
      </w:r>
    </w:p>
    <w:p w14:paraId="287375F1" w14:textId="5D5D0C92" w:rsidR="000853C5" w:rsidRPr="00224DC9" w:rsidRDefault="000853C5" w:rsidP="007301B8">
      <w:pPr>
        <w:spacing w:line="257" w:lineRule="auto"/>
        <w:jc w:val="both"/>
        <w:rPr>
          <w:rFonts w:ascii="Cambria" w:eastAsia="Calibri" w:hAnsi="Cambria" w:cs="Calibri"/>
          <w:lang w:val="sk-SK"/>
        </w:rPr>
      </w:pPr>
      <w:r w:rsidRPr="00224DC9">
        <w:rPr>
          <w:rFonts w:ascii="Cambria" w:eastAsia="Calibri" w:hAnsi="Cambria" w:cs="Calibri"/>
          <w:lang w:val="sk-SK"/>
        </w:rPr>
        <w:t xml:space="preserve">Poskytovateľ sa zaviaže poskytnúť verejnému obstarávateľovi službu Školenie v rozsahu maximálne do </w:t>
      </w:r>
      <w:r w:rsidR="003410E4">
        <w:rPr>
          <w:rFonts w:ascii="Cambria" w:eastAsia="Calibri" w:hAnsi="Cambria" w:cs="Calibri"/>
          <w:lang w:val="sk-SK"/>
        </w:rPr>
        <w:t>100</w:t>
      </w:r>
      <w:r w:rsidR="003410E4" w:rsidRPr="00224DC9">
        <w:rPr>
          <w:rFonts w:ascii="Cambria" w:eastAsia="Calibri" w:hAnsi="Cambria" w:cs="Calibri"/>
          <w:lang w:val="sk-SK"/>
        </w:rPr>
        <w:t xml:space="preserve"> </w:t>
      </w:r>
      <w:r w:rsidR="001A1A81">
        <w:rPr>
          <w:rFonts w:ascii="Cambria" w:eastAsia="Calibri" w:hAnsi="Cambria" w:cs="Calibri"/>
          <w:lang w:val="sk-SK"/>
        </w:rPr>
        <w:t>osobodní</w:t>
      </w:r>
      <w:r w:rsidRPr="00224DC9">
        <w:rPr>
          <w:rFonts w:ascii="Cambria" w:eastAsia="Calibri" w:hAnsi="Cambria" w:cs="Calibri"/>
          <w:lang w:val="sk-SK"/>
        </w:rPr>
        <w:t xml:space="preserve"> počas trvania servisnej zmluvy, v prípade predĺženia servisnej zmluvy max.</w:t>
      </w:r>
      <w:r w:rsidRPr="00A92043">
        <w:rPr>
          <w:rFonts w:ascii="Cambria" w:eastAsia="Calibri" w:hAnsi="Cambria" w:cs="Calibri"/>
          <w:lang w:val="sk-SK"/>
        </w:rPr>
        <w:t xml:space="preserve"> </w:t>
      </w:r>
      <w:r w:rsidR="003410E4">
        <w:rPr>
          <w:rFonts w:ascii="Cambria" w:eastAsia="Calibri" w:hAnsi="Cambria" w:cs="Calibri"/>
          <w:lang w:val="sk-SK"/>
        </w:rPr>
        <w:t>20</w:t>
      </w:r>
      <w:r w:rsidRPr="00224DC9">
        <w:rPr>
          <w:rFonts w:ascii="Cambria" w:eastAsia="Calibri" w:hAnsi="Cambria" w:cs="Calibri"/>
          <w:lang w:val="sk-SK"/>
        </w:rPr>
        <w:t xml:space="preserve"> </w:t>
      </w:r>
      <w:r w:rsidR="001A1A81">
        <w:rPr>
          <w:rFonts w:ascii="Cambria" w:eastAsia="Calibri" w:hAnsi="Cambria" w:cs="Calibri"/>
          <w:lang w:val="sk-SK"/>
        </w:rPr>
        <w:t>osob</w:t>
      </w:r>
      <w:r w:rsidR="008B36A3">
        <w:rPr>
          <w:rFonts w:ascii="Cambria" w:eastAsia="Calibri" w:hAnsi="Cambria" w:cs="Calibri"/>
          <w:lang w:val="sk-SK"/>
        </w:rPr>
        <w:t>odní</w:t>
      </w:r>
      <w:r w:rsidRPr="00224DC9">
        <w:rPr>
          <w:rFonts w:ascii="Cambria" w:eastAsia="Calibri" w:hAnsi="Cambria" w:cs="Calibri"/>
          <w:lang w:val="sk-SK"/>
        </w:rPr>
        <w:t xml:space="preserve"> na dva roky.</w:t>
      </w:r>
    </w:p>
    <w:p w14:paraId="70805DCA" w14:textId="77777777" w:rsidR="000853C5" w:rsidRPr="00224DC9" w:rsidRDefault="000853C5" w:rsidP="000853C5">
      <w:pPr>
        <w:ind w:firstLine="708"/>
        <w:rPr>
          <w:rFonts w:ascii="Cambria" w:hAnsi="Cambria"/>
          <w:lang w:val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993"/>
        <w:gridCol w:w="1185"/>
        <w:gridCol w:w="657"/>
        <w:gridCol w:w="1276"/>
        <w:gridCol w:w="992"/>
        <w:gridCol w:w="1134"/>
      </w:tblGrid>
      <w:tr w:rsidR="000853C5" w:rsidRPr="00224DC9" w14:paraId="322A6200" w14:textId="77777777" w:rsidTr="003257F9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E0E0E0"/>
            <w:vAlign w:val="center"/>
          </w:tcPr>
          <w:p w14:paraId="079AF3EA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ID</w:t>
            </w:r>
          </w:p>
        </w:tc>
        <w:tc>
          <w:tcPr>
            <w:tcW w:w="2906" w:type="dxa"/>
            <w:vMerge w:val="restart"/>
            <w:shd w:val="clear" w:color="auto" w:fill="E0E0E0"/>
            <w:vAlign w:val="center"/>
          </w:tcPr>
          <w:p w14:paraId="5E8C1047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Činnosti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3E595D71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Aktivácia služby</w:t>
            </w:r>
          </w:p>
        </w:tc>
        <w:tc>
          <w:tcPr>
            <w:tcW w:w="3402" w:type="dxa"/>
            <w:gridSpan w:val="3"/>
            <w:shd w:val="clear" w:color="auto" w:fill="E0E0E0"/>
            <w:noWrap/>
            <w:vAlign w:val="center"/>
          </w:tcPr>
          <w:p w14:paraId="0562963D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Úroveň služby</w:t>
            </w:r>
          </w:p>
        </w:tc>
      </w:tr>
      <w:tr w:rsidR="000853C5" w:rsidRPr="00224DC9" w14:paraId="1F8EB7B6" w14:textId="77777777" w:rsidTr="003257F9">
        <w:trPr>
          <w:cantSplit/>
          <w:trHeight w:val="649"/>
          <w:tblHeader/>
        </w:trPr>
        <w:tc>
          <w:tcPr>
            <w:tcW w:w="496" w:type="dxa"/>
            <w:vMerge/>
            <w:vAlign w:val="center"/>
          </w:tcPr>
          <w:p w14:paraId="1EFE6A8D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906" w:type="dxa"/>
            <w:vMerge/>
            <w:vAlign w:val="center"/>
          </w:tcPr>
          <w:p w14:paraId="214A60D1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3D70F13E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Spúšťač</w:t>
            </w:r>
          </w:p>
        </w:tc>
        <w:tc>
          <w:tcPr>
            <w:tcW w:w="1185" w:type="dxa"/>
            <w:shd w:val="clear" w:color="auto" w:fill="E0E0E0"/>
            <w:vAlign w:val="center"/>
          </w:tcPr>
          <w:p w14:paraId="30E39DA8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Frekvencia</w:t>
            </w:r>
          </w:p>
        </w:tc>
        <w:tc>
          <w:tcPr>
            <w:tcW w:w="657" w:type="dxa"/>
            <w:shd w:val="clear" w:color="auto" w:fill="E0E0E0"/>
            <w:vAlign w:val="center"/>
          </w:tcPr>
          <w:p w14:paraId="27241079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Štart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2D98AEA7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Dostupnosť služby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5570F517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69774493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b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b/>
                <w:sz w:val="20"/>
                <w:szCs w:val="20"/>
                <w:lang w:val="sk-SK"/>
              </w:rPr>
              <w:t>Lehota služby</w:t>
            </w:r>
          </w:p>
        </w:tc>
      </w:tr>
      <w:tr w:rsidR="000853C5" w:rsidRPr="00224DC9" w14:paraId="54776EA3" w14:textId="77777777" w:rsidTr="003257F9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412A81B5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sz w:val="20"/>
                <w:szCs w:val="20"/>
                <w:lang w:val="sk-SK"/>
              </w:rPr>
              <w:t>1.</w:t>
            </w:r>
          </w:p>
        </w:tc>
        <w:tc>
          <w:tcPr>
            <w:tcW w:w="2906" w:type="dxa"/>
            <w:vAlign w:val="center"/>
          </w:tcPr>
          <w:p w14:paraId="16BEC643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sz w:val="20"/>
                <w:szCs w:val="20"/>
                <w:lang w:val="sk-SK"/>
              </w:rPr>
              <w:t>Školenie k dodanému systému, prípadne jeho ľubovoľnej časti podľa požiadaviek uvedených v objednávke (školenie sa vykoná v priestoroch verejného obstarávateľa, pokiaľ sa verejný obstarávateľ s poskytovateľom nedohodnú inak)</w:t>
            </w:r>
          </w:p>
        </w:tc>
        <w:tc>
          <w:tcPr>
            <w:tcW w:w="993" w:type="dxa"/>
            <w:noWrap/>
            <w:vAlign w:val="center"/>
          </w:tcPr>
          <w:p w14:paraId="2FC8B316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sz w:val="20"/>
                <w:szCs w:val="20"/>
                <w:lang w:val="sk-SK"/>
              </w:rPr>
              <w:t>Objednávka</w:t>
            </w:r>
          </w:p>
        </w:tc>
        <w:tc>
          <w:tcPr>
            <w:tcW w:w="1185" w:type="dxa"/>
            <w:noWrap/>
            <w:vAlign w:val="center"/>
          </w:tcPr>
          <w:p w14:paraId="418B160E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</w:p>
        </w:tc>
        <w:tc>
          <w:tcPr>
            <w:tcW w:w="657" w:type="dxa"/>
            <w:noWrap/>
            <w:vAlign w:val="center"/>
          </w:tcPr>
          <w:p w14:paraId="0FD9E05E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</w:tcPr>
          <w:p w14:paraId="3481425A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sz w:val="20"/>
                <w:szCs w:val="20"/>
                <w:lang w:val="sk-SK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5DDB461E" w14:textId="77777777" w:rsidR="000853C5" w:rsidRPr="00224DC9" w:rsidRDefault="000853C5" w:rsidP="003257F9">
            <w:pPr>
              <w:spacing w:before="40" w:after="40"/>
              <w:rPr>
                <w:rFonts w:ascii="Cambria" w:eastAsia="Cambria" w:hAnsi="Cambria" w:cs="Cambria"/>
                <w:sz w:val="20"/>
                <w:szCs w:val="20"/>
                <w:lang w:val="sk-SK"/>
              </w:rPr>
            </w:pPr>
            <w:r w:rsidRPr="00224DC9">
              <w:rPr>
                <w:rFonts w:ascii="Cambria" w:eastAsia="Cambria" w:hAnsi="Cambria" w:cs="Cambria"/>
                <w:sz w:val="20"/>
                <w:szCs w:val="20"/>
                <w:lang w:val="sk-SK"/>
              </w:rPr>
              <w:t>do 5 pracovných dní od prijatia objednávky</w:t>
            </w:r>
          </w:p>
        </w:tc>
        <w:tc>
          <w:tcPr>
            <w:tcW w:w="1134" w:type="dxa"/>
            <w:noWrap/>
            <w:vAlign w:val="center"/>
          </w:tcPr>
          <w:p w14:paraId="401DDB6B" w14:textId="77777777" w:rsidR="000853C5" w:rsidRPr="00224DC9" w:rsidRDefault="000853C5" w:rsidP="003257F9">
            <w:pPr>
              <w:spacing w:before="40" w:after="40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224DC9">
              <w:rPr>
                <w:rFonts w:ascii="Cambria" w:hAnsi="Cambria" w:cs="Arial"/>
                <w:sz w:val="20"/>
                <w:szCs w:val="20"/>
                <w:lang w:val="sk-SK"/>
              </w:rPr>
              <w:t>Podľa objednávky</w:t>
            </w:r>
          </w:p>
        </w:tc>
      </w:tr>
    </w:tbl>
    <w:p w14:paraId="04DC4A18" w14:textId="77777777" w:rsidR="000853C5" w:rsidRPr="00224DC9" w:rsidRDefault="000853C5" w:rsidP="000853C5">
      <w:pPr>
        <w:rPr>
          <w:rFonts w:ascii="Cambria" w:hAnsi="Cambria"/>
          <w:lang w:val="sk-SK"/>
        </w:rPr>
      </w:pPr>
    </w:p>
    <w:p w14:paraId="12133D42" w14:textId="77777777" w:rsidR="000853C5" w:rsidRPr="00224DC9" w:rsidRDefault="000853C5" w:rsidP="001B51EE">
      <w:pPr>
        <w:pStyle w:val="Nadpis4"/>
        <w:ind w:left="0" w:firstLine="0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Implementácia</w:t>
      </w:r>
    </w:p>
    <w:p w14:paraId="0721CBD8" w14:textId="6ABA34C1" w:rsidR="000853C5" w:rsidRPr="00224DC9" w:rsidRDefault="006071A7" w:rsidP="007301B8">
      <w:pPr>
        <w:pStyle w:val="Zarkazkladnhotextu"/>
        <w:tabs>
          <w:tab w:val="left" w:pos="567"/>
        </w:tabs>
        <w:spacing w:before="120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0853C5" w:rsidRPr="00224DC9">
        <w:rPr>
          <w:rFonts w:ascii="Cambria" w:hAnsi="Cambria"/>
        </w:rPr>
        <w:t>Pod pojmom služba Implementácie sa rozumie služba riadenia zmien umožňujúca</w:t>
      </w:r>
    </w:p>
    <w:p w14:paraId="3695E028" w14:textId="77777777" w:rsidR="000853C5" w:rsidRPr="00224DC9" w:rsidRDefault="000853C5" w:rsidP="007301B8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ind w:left="1560" w:hanging="840"/>
        <w:rPr>
          <w:rFonts w:ascii="Cambria" w:hAnsi="Cambria"/>
        </w:rPr>
      </w:pPr>
      <w:r w:rsidRPr="00224DC9">
        <w:rPr>
          <w:rFonts w:ascii="Cambria" w:hAnsi="Cambria"/>
        </w:rPr>
        <w:t>Predbežnú analýzu požiadaviek verejného obstarávateľa a rámcový návrh ich riešenia</w:t>
      </w:r>
    </w:p>
    <w:p w14:paraId="2EC52B56" w14:textId="77777777" w:rsidR="000853C5" w:rsidRPr="00224DC9" w:rsidRDefault="000853C5" w:rsidP="007301B8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ind w:left="1560" w:hanging="840"/>
        <w:rPr>
          <w:rFonts w:ascii="Cambria" w:hAnsi="Cambria"/>
        </w:rPr>
      </w:pPr>
      <w:r w:rsidRPr="00224DC9">
        <w:rPr>
          <w:rFonts w:ascii="Cambria" w:hAnsi="Cambria"/>
        </w:rPr>
        <w:t>Následnú funkčnú analýzu požiadaviek verejného obstarávateľa a detailný návrh ich riešenia vrátane cenovej ponuky</w:t>
      </w:r>
    </w:p>
    <w:p w14:paraId="5D1C3CAF" w14:textId="77777777" w:rsidR="000853C5" w:rsidRPr="00224DC9" w:rsidRDefault="000853C5" w:rsidP="007301B8">
      <w:pPr>
        <w:pStyle w:val="Zarkazkladnhotextu"/>
        <w:numPr>
          <w:ilvl w:val="2"/>
          <w:numId w:val="10"/>
        </w:numPr>
        <w:tabs>
          <w:tab w:val="left" w:pos="567"/>
        </w:tabs>
        <w:spacing w:before="120" w:after="120"/>
        <w:ind w:left="1440" w:hanging="720"/>
        <w:rPr>
          <w:rFonts w:ascii="Cambria" w:hAnsi="Cambria"/>
        </w:rPr>
      </w:pPr>
      <w:r w:rsidRPr="00224DC9">
        <w:rPr>
          <w:rFonts w:ascii="Cambria" w:hAnsi="Cambria"/>
        </w:rPr>
        <w:t>samotnú úpravu systému podľa požiadaviek verejného obstarávateľa s cieľom zabezpečiť zlepšenie existujúcej a/alebo dodanie novej funkčnosti do dodaného informačného systému.</w:t>
      </w:r>
    </w:p>
    <w:p w14:paraId="1F50F97E" w14:textId="5714B928" w:rsidR="000853C5" w:rsidRPr="00224DC9" w:rsidRDefault="000853C5" w:rsidP="007301B8">
      <w:pPr>
        <w:spacing w:line="257" w:lineRule="auto"/>
        <w:jc w:val="both"/>
        <w:rPr>
          <w:rFonts w:ascii="Cambria" w:eastAsia="Cambria" w:hAnsi="Cambria" w:cs="Cambria"/>
          <w:lang w:val="sk-SK"/>
        </w:rPr>
      </w:pPr>
      <w:r w:rsidRPr="00224DC9">
        <w:rPr>
          <w:rFonts w:ascii="Cambria" w:eastAsia="Cambria" w:hAnsi="Cambria" w:cs="Cambria"/>
          <w:lang w:val="sk-SK"/>
        </w:rPr>
        <w:t xml:space="preserve">Poskytovateľ sa zaviaže poskytnúť verejnému obstarávateľovi službu Implementácia v rozsahu maximálne </w:t>
      </w:r>
      <w:r w:rsidR="00C7600C">
        <w:rPr>
          <w:rFonts w:ascii="Cambria" w:eastAsia="Calibri" w:hAnsi="Cambria" w:cs="Calibri"/>
          <w:lang w:val="sk-SK"/>
        </w:rPr>
        <w:t>300</w:t>
      </w:r>
      <w:r w:rsidRPr="00224DC9">
        <w:rPr>
          <w:rFonts w:ascii="Cambria" w:eastAsia="Calibri" w:hAnsi="Cambria" w:cs="Calibri"/>
          <w:lang w:val="sk-SK"/>
        </w:rPr>
        <w:t xml:space="preserve"> </w:t>
      </w:r>
      <w:r w:rsidR="008B36A3">
        <w:rPr>
          <w:rFonts w:ascii="Cambria" w:eastAsia="Calibri" w:hAnsi="Cambria" w:cs="Calibri"/>
          <w:lang w:val="sk-SK"/>
        </w:rPr>
        <w:t>osobodní</w:t>
      </w:r>
      <w:r w:rsidRPr="00224DC9">
        <w:rPr>
          <w:rFonts w:ascii="Cambria" w:eastAsia="Calibri" w:hAnsi="Cambria" w:cs="Calibri"/>
          <w:lang w:val="sk-SK"/>
        </w:rPr>
        <w:t xml:space="preserve"> počas trvania servisnej zmluvy v prípade uplatnenia opcie ďalších </w:t>
      </w:r>
      <w:r w:rsidR="00C7600C">
        <w:rPr>
          <w:rFonts w:ascii="Cambria" w:eastAsia="Calibri" w:hAnsi="Cambria" w:cs="Calibri"/>
          <w:lang w:val="sk-SK"/>
        </w:rPr>
        <w:t>200 osobodní</w:t>
      </w:r>
      <w:r w:rsidR="00C7600C" w:rsidRPr="00224DC9">
        <w:rPr>
          <w:rFonts w:ascii="Cambria" w:eastAsia="Calibri" w:hAnsi="Cambria" w:cs="Calibri"/>
          <w:lang w:val="sk-SK"/>
        </w:rPr>
        <w:t xml:space="preserve"> na dva roky</w:t>
      </w:r>
      <w:r w:rsidR="00C7600C" w:rsidRPr="00224DC9" w:rsidDel="00C7600C">
        <w:rPr>
          <w:rFonts w:ascii="Cambria" w:eastAsia="Calibri" w:hAnsi="Cambria" w:cs="Calibri"/>
          <w:lang w:val="sk-SK"/>
        </w:rPr>
        <w:t xml:space="preserve"> </w:t>
      </w:r>
      <w:r w:rsidRPr="00224DC9">
        <w:rPr>
          <w:rFonts w:ascii="Cambria" w:eastAsia="Calibri" w:hAnsi="Cambria" w:cs="Calibri"/>
          <w:lang w:val="sk-SK"/>
        </w:rPr>
        <w:t>.</w:t>
      </w:r>
    </w:p>
    <w:p w14:paraId="00800A2E" w14:textId="77777777" w:rsidR="000853C5" w:rsidRPr="00224DC9" w:rsidRDefault="000853C5" w:rsidP="007301B8">
      <w:pPr>
        <w:jc w:val="both"/>
        <w:rPr>
          <w:rFonts w:ascii="Cambria" w:hAnsi="Cambria"/>
          <w:lang w:val="sk-SK"/>
        </w:rPr>
      </w:pPr>
    </w:p>
    <w:tbl>
      <w:tblPr>
        <w:tblStyle w:val="NBStl"/>
        <w:tblW w:w="8930" w:type="dxa"/>
        <w:tblLayout w:type="fixed"/>
        <w:tblLook w:val="0020" w:firstRow="1" w:lastRow="0" w:firstColumn="0" w:lastColumn="0" w:noHBand="0" w:noVBand="0"/>
      </w:tblPr>
      <w:tblGrid>
        <w:gridCol w:w="496"/>
        <w:gridCol w:w="3473"/>
        <w:gridCol w:w="993"/>
        <w:gridCol w:w="708"/>
        <w:gridCol w:w="709"/>
        <w:gridCol w:w="567"/>
        <w:gridCol w:w="850"/>
        <w:gridCol w:w="1134"/>
      </w:tblGrid>
      <w:tr w:rsidR="000853C5" w:rsidRPr="00224DC9" w14:paraId="329B789F" w14:textId="77777777" w:rsidTr="00CE5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496" w:type="dxa"/>
            <w:vMerge w:val="restart"/>
          </w:tcPr>
          <w:p w14:paraId="4B132B0D" w14:textId="77777777" w:rsidR="000853C5" w:rsidRPr="00645336" w:rsidRDefault="000853C5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ID</w:t>
            </w:r>
          </w:p>
        </w:tc>
        <w:tc>
          <w:tcPr>
            <w:tcW w:w="3473" w:type="dxa"/>
            <w:vMerge w:val="restart"/>
          </w:tcPr>
          <w:p w14:paraId="39676F3C" w14:textId="77777777" w:rsidR="000853C5" w:rsidRPr="00645336" w:rsidRDefault="000853C5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Služba / Činnosti</w:t>
            </w:r>
          </w:p>
        </w:tc>
        <w:tc>
          <w:tcPr>
            <w:tcW w:w="2410" w:type="dxa"/>
            <w:gridSpan w:val="3"/>
          </w:tcPr>
          <w:p w14:paraId="50232A1C" w14:textId="77777777" w:rsidR="000853C5" w:rsidRPr="00645336" w:rsidRDefault="000853C5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Aktivácia služby</w:t>
            </w:r>
          </w:p>
        </w:tc>
        <w:tc>
          <w:tcPr>
            <w:tcW w:w="2547" w:type="dxa"/>
            <w:gridSpan w:val="3"/>
            <w:noWrap/>
          </w:tcPr>
          <w:p w14:paraId="701361CA" w14:textId="77777777" w:rsidR="000853C5" w:rsidRPr="00645336" w:rsidRDefault="000853C5" w:rsidP="007301B8">
            <w:pPr>
              <w:spacing w:before="40" w:after="40"/>
              <w:rPr>
                <w:rFonts w:cs="Arial"/>
                <w:b w:val="0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Úroveň služby</w:t>
            </w:r>
          </w:p>
        </w:tc>
      </w:tr>
      <w:tr w:rsidR="00CE5CD9" w:rsidRPr="00224DC9" w14:paraId="0476FB32" w14:textId="77777777" w:rsidTr="00CE5CD9">
        <w:trPr>
          <w:trHeight w:val="649"/>
        </w:trPr>
        <w:tc>
          <w:tcPr>
            <w:tcW w:w="496" w:type="dxa"/>
            <w:vMerge/>
          </w:tcPr>
          <w:p w14:paraId="116F3784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3473" w:type="dxa"/>
            <w:vMerge/>
          </w:tcPr>
          <w:p w14:paraId="72B18EED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993" w:type="dxa"/>
          </w:tcPr>
          <w:p w14:paraId="20C52158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Spúšťač</w:t>
            </w:r>
          </w:p>
        </w:tc>
        <w:tc>
          <w:tcPr>
            <w:tcW w:w="708" w:type="dxa"/>
          </w:tcPr>
          <w:p w14:paraId="459D0190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1276" w:type="dxa"/>
            <w:gridSpan w:val="2"/>
          </w:tcPr>
          <w:p w14:paraId="6455C40E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Dostupnosť služby</w:t>
            </w:r>
          </w:p>
        </w:tc>
        <w:tc>
          <w:tcPr>
            <w:tcW w:w="850" w:type="dxa"/>
          </w:tcPr>
          <w:p w14:paraId="494F2773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Doba odozvy</w:t>
            </w:r>
          </w:p>
        </w:tc>
        <w:tc>
          <w:tcPr>
            <w:tcW w:w="1134" w:type="dxa"/>
          </w:tcPr>
          <w:p w14:paraId="7CA942DC" w14:textId="77777777" w:rsidR="00CE5CD9" w:rsidRPr="00645336" w:rsidRDefault="00CE5CD9" w:rsidP="007301B8">
            <w:pPr>
              <w:spacing w:before="40" w:after="40"/>
              <w:rPr>
                <w:rFonts w:cs="Arial"/>
                <w:b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b/>
                <w:sz w:val="22"/>
                <w:szCs w:val="22"/>
                <w:lang w:val="sk-SK"/>
              </w:rPr>
              <w:t>Lehota služby</w:t>
            </w:r>
          </w:p>
        </w:tc>
      </w:tr>
      <w:tr w:rsidR="00CE5CD9" w:rsidRPr="00224DC9" w14:paraId="0E3933D4" w14:textId="77777777" w:rsidTr="00CE5CD9">
        <w:trPr>
          <w:trHeight w:val="300"/>
        </w:trPr>
        <w:tc>
          <w:tcPr>
            <w:tcW w:w="496" w:type="dxa"/>
            <w:noWrap/>
          </w:tcPr>
          <w:p w14:paraId="638F57A6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1.</w:t>
            </w:r>
          </w:p>
        </w:tc>
        <w:tc>
          <w:tcPr>
            <w:tcW w:w="3473" w:type="dxa"/>
          </w:tcPr>
          <w:p w14:paraId="0D2254C6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Vykonať predbežnú analýzu a vypracovať písomnú ponuku na funkčnú analýzu požiadavky a na návrh riešenia</w:t>
            </w:r>
          </w:p>
        </w:tc>
        <w:tc>
          <w:tcPr>
            <w:tcW w:w="993" w:type="dxa"/>
            <w:noWrap/>
          </w:tcPr>
          <w:p w14:paraId="791ADEC2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708" w:type="dxa"/>
            <w:noWrap/>
          </w:tcPr>
          <w:p w14:paraId="16E0A679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gridSpan w:val="2"/>
            <w:noWrap/>
          </w:tcPr>
          <w:p w14:paraId="37998010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</w:tc>
        <w:tc>
          <w:tcPr>
            <w:tcW w:w="850" w:type="dxa"/>
            <w:noWrap/>
          </w:tcPr>
          <w:p w14:paraId="16D2A5BB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noWrap/>
          </w:tcPr>
          <w:p w14:paraId="2A2CA817" w14:textId="77777777" w:rsidR="00CE5CD9" w:rsidRPr="00645336" w:rsidRDefault="00CE5CD9" w:rsidP="007301B8">
            <w:pPr>
              <w:spacing w:before="40" w:after="40"/>
              <w:rPr>
                <w:rFonts w:eastAsia="Cambria" w:cs="Cambria"/>
                <w:sz w:val="22"/>
                <w:szCs w:val="22"/>
                <w:lang w:val="sk-SK"/>
              </w:rPr>
            </w:pPr>
            <w:r w:rsidRPr="00645336">
              <w:rPr>
                <w:rFonts w:eastAsia="Cambria" w:cs="Cambria"/>
                <w:sz w:val="22"/>
                <w:szCs w:val="22"/>
                <w:lang w:val="sk-SK"/>
              </w:rPr>
              <w:t>do10 pracovných dní od prijatia žiadosti</w:t>
            </w:r>
          </w:p>
        </w:tc>
      </w:tr>
      <w:tr w:rsidR="00CE5CD9" w:rsidRPr="00224DC9" w14:paraId="3F5DC56E" w14:textId="77777777" w:rsidTr="00CE5CD9">
        <w:trPr>
          <w:trHeight w:val="300"/>
        </w:trPr>
        <w:tc>
          <w:tcPr>
            <w:tcW w:w="496" w:type="dxa"/>
            <w:noWrap/>
          </w:tcPr>
          <w:p w14:paraId="43860BB4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2.</w:t>
            </w:r>
          </w:p>
        </w:tc>
        <w:tc>
          <w:tcPr>
            <w:tcW w:w="3473" w:type="dxa"/>
          </w:tcPr>
          <w:p w14:paraId="087BE15E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 xml:space="preserve">Vykonať funkčnú analýzu požiadavky a vypracovať návrh riešenia </w:t>
            </w:r>
          </w:p>
        </w:tc>
        <w:tc>
          <w:tcPr>
            <w:tcW w:w="993" w:type="dxa"/>
            <w:noWrap/>
          </w:tcPr>
          <w:p w14:paraId="138198FC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Žiadosť/Návrh objednávky</w:t>
            </w:r>
          </w:p>
        </w:tc>
        <w:tc>
          <w:tcPr>
            <w:tcW w:w="708" w:type="dxa"/>
            <w:noWrap/>
          </w:tcPr>
          <w:p w14:paraId="6DD6BA1C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gridSpan w:val="2"/>
            <w:noWrap/>
          </w:tcPr>
          <w:p w14:paraId="06CA9E8E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  <w:p w14:paraId="26317478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850" w:type="dxa"/>
            <w:noWrap/>
          </w:tcPr>
          <w:p w14:paraId="524DF2FD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noWrap/>
          </w:tcPr>
          <w:p w14:paraId="136FB41F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Podľa objednávky</w:t>
            </w:r>
          </w:p>
        </w:tc>
      </w:tr>
      <w:tr w:rsidR="00CE5CD9" w:rsidRPr="00224DC9" w14:paraId="344C2A2A" w14:textId="77777777" w:rsidTr="00CE5CD9">
        <w:trPr>
          <w:trHeight w:val="300"/>
        </w:trPr>
        <w:tc>
          <w:tcPr>
            <w:tcW w:w="496" w:type="dxa"/>
            <w:noWrap/>
          </w:tcPr>
          <w:p w14:paraId="0B6BE155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3.</w:t>
            </w:r>
          </w:p>
        </w:tc>
        <w:tc>
          <w:tcPr>
            <w:tcW w:w="3473" w:type="dxa"/>
          </w:tcPr>
          <w:p w14:paraId="44B04196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Realizácia požiadavky, aktualizácia sprievodnej dokumentácie dodaného systému</w:t>
            </w:r>
          </w:p>
        </w:tc>
        <w:tc>
          <w:tcPr>
            <w:tcW w:w="993" w:type="dxa"/>
            <w:noWrap/>
          </w:tcPr>
          <w:p w14:paraId="38D0EAD0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Objednávka</w:t>
            </w:r>
          </w:p>
        </w:tc>
        <w:tc>
          <w:tcPr>
            <w:tcW w:w="708" w:type="dxa"/>
            <w:noWrap/>
          </w:tcPr>
          <w:p w14:paraId="41CD06CD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gridSpan w:val="2"/>
            <w:noWrap/>
          </w:tcPr>
          <w:p w14:paraId="74EC189E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V pracovnej dobe</w:t>
            </w:r>
          </w:p>
          <w:p w14:paraId="20795711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850" w:type="dxa"/>
            <w:noWrap/>
          </w:tcPr>
          <w:p w14:paraId="6A0DEFC7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noWrap/>
          </w:tcPr>
          <w:p w14:paraId="33B4A5DF" w14:textId="77777777" w:rsidR="00CE5CD9" w:rsidRPr="00645336" w:rsidRDefault="00CE5CD9" w:rsidP="007301B8">
            <w:pPr>
              <w:spacing w:before="40" w:after="40"/>
              <w:rPr>
                <w:rFonts w:cs="Arial"/>
                <w:sz w:val="22"/>
                <w:szCs w:val="22"/>
                <w:lang w:val="sk-SK"/>
              </w:rPr>
            </w:pPr>
            <w:r w:rsidRPr="00645336">
              <w:rPr>
                <w:rFonts w:cs="Arial"/>
                <w:sz w:val="22"/>
                <w:szCs w:val="22"/>
                <w:lang w:val="sk-SK"/>
              </w:rPr>
              <w:t>Podľa objednávky</w:t>
            </w:r>
          </w:p>
        </w:tc>
      </w:tr>
    </w:tbl>
    <w:p w14:paraId="18297A8F" w14:textId="77777777" w:rsidR="005A6533" w:rsidRDefault="005A6533" w:rsidP="000E3407">
      <w:pPr>
        <w:pStyle w:val="Nadpis4"/>
        <w:ind w:left="0" w:firstLine="0"/>
        <w:jc w:val="both"/>
        <w:rPr>
          <w:rFonts w:ascii="Cambria" w:hAnsi="Cambria"/>
          <w:lang w:val="sk-SK"/>
        </w:rPr>
      </w:pPr>
    </w:p>
    <w:p w14:paraId="662A4018" w14:textId="1AF73142" w:rsidR="000853C5" w:rsidRPr="00224DC9" w:rsidRDefault="000853C5" w:rsidP="000E3407">
      <w:pPr>
        <w:pStyle w:val="Nadpis4"/>
        <w:ind w:left="0" w:firstLine="0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Doplnkové služby (Exit služba a Konzultácie pre nového dodávateľa)</w:t>
      </w:r>
    </w:p>
    <w:p w14:paraId="73C2527A" w14:textId="77777777" w:rsidR="000E3407" w:rsidRDefault="000E3407" w:rsidP="007301B8">
      <w:pPr>
        <w:jc w:val="both"/>
        <w:rPr>
          <w:rFonts w:ascii="Cambria" w:hAnsi="Cambria"/>
          <w:b/>
          <w:lang w:val="sk-SK"/>
        </w:rPr>
      </w:pPr>
    </w:p>
    <w:p w14:paraId="7DE9B939" w14:textId="5B47FD03" w:rsidR="000853C5" w:rsidRPr="00224DC9" w:rsidRDefault="000853C5" w:rsidP="007301B8">
      <w:pPr>
        <w:jc w:val="both"/>
        <w:rPr>
          <w:rFonts w:ascii="Cambria" w:hAnsi="Cambria"/>
          <w:b/>
          <w:lang w:val="sk-SK"/>
        </w:rPr>
      </w:pPr>
      <w:r w:rsidRPr="00224DC9">
        <w:rPr>
          <w:rFonts w:ascii="Cambria" w:hAnsi="Cambria"/>
          <w:b/>
          <w:lang w:val="sk-SK"/>
        </w:rPr>
        <w:t>Exit služba</w:t>
      </w:r>
    </w:p>
    <w:p w14:paraId="0A73BE1D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Pod službou "Exit služba“ sa rozumie poskytnutie súčinnosti novému poskytovateľovi:</w:t>
      </w:r>
    </w:p>
    <w:p w14:paraId="15512280" w14:textId="77777777" w:rsidR="000853C5" w:rsidRPr="00224DC9" w:rsidRDefault="000853C5" w:rsidP="007301B8">
      <w:pPr>
        <w:pStyle w:val="Odsekzoznamu"/>
        <w:numPr>
          <w:ilvl w:val="2"/>
          <w:numId w:val="49"/>
        </w:numPr>
        <w:spacing w:after="160" w:line="259" w:lineRule="auto"/>
        <w:contextualSpacing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pri prevzatí Servisných služieb k dielu formou workshopov,</w:t>
      </w:r>
    </w:p>
    <w:p w14:paraId="64A5324F" w14:textId="77777777" w:rsidR="000853C5" w:rsidRPr="00224DC9" w:rsidRDefault="000853C5" w:rsidP="007301B8">
      <w:pPr>
        <w:pStyle w:val="Odsekzoznamu"/>
        <w:numPr>
          <w:ilvl w:val="2"/>
          <w:numId w:val="49"/>
        </w:numPr>
        <w:spacing w:after="160" w:line="259" w:lineRule="auto"/>
        <w:contextualSpacing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pri riešení incidentov, resp. v opodstatnených prípadoch aj priame riešenie incidentov,</w:t>
      </w:r>
    </w:p>
    <w:p w14:paraId="3087E82D" w14:textId="77777777" w:rsidR="000853C5" w:rsidRPr="00224DC9" w:rsidRDefault="000853C5" w:rsidP="007301B8">
      <w:pPr>
        <w:pStyle w:val="Odsekzoznamu"/>
        <w:numPr>
          <w:ilvl w:val="2"/>
          <w:numId w:val="49"/>
        </w:numPr>
        <w:spacing w:after="160" w:line="259" w:lineRule="auto"/>
        <w:contextualSpacing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pri implementácii novej funkčnosti resp. v opodstatnených prípadoch aj priama implementácia novej funkčnosti,</w:t>
      </w:r>
    </w:p>
    <w:p w14:paraId="68E2DA44" w14:textId="5FACA0BE" w:rsidR="000853C5" w:rsidRPr="00224DC9" w:rsidRDefault="000853C5" w:rsidP="00CD591E">
      <w:pPr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 xml:space="preserve">Poskytovateľ sa zaviaže poskytnúť na vyžiadanie verejnému obstarávateľovi službu „Exit služba“ v rozsahu maximálne do </w:t>
      </w:r>
      <w:r w:rsidR="00D7277C">
        <w:rPr>
          <w:rFonts w:ascii="Cambria" w:eastAsia="Calibri" w:hAnsi="Cambria" w:cs="Calibri"/>
          <w:lang w:val="sk-SK"/>
        </w:rPr>
        <w:t>20</w:t>
      </w:r>
      <w:r w:rsidR="00D7277C" w:rsidRPr="00224DC9">
        <w:rPr>
          <w:rFonts w:ascii="Cambria" w:eastAsia="Calibri" w:hAnsi="Cambria" w:cs="Calibri"/>
          <w:lang w:val="sk-SK"/>
        </w:rPr>
        <w:t xml:space="preserve"> </w:t>
      </w:r>
      <w:r w:rsidR="00620451">
        <w:rPr>
          <w:rFonts w:ascii="Cambria" w:hAnsi="Cambria"/>
          <w:lang w:val="sk-SK"/>
        </w:rPr>
        <w:t>osobodní</w:t>
      </w:r>
      <w:r w:rsidRPr="00224DC9">
        <w:rPr>
          <w:rFonts w:ascii="Cambria" w:hAnsi="Cambria"/>
          <w:lang w:val="sk-SK"/>
        </w:rPr>
        <w:t>.</w:t>
      </w:r>
    </w:p>
    <w:p w14:paraId="61DC4D53" w14:textId="77777777" w:rsidR="000853C5" w:rsidRPr="00224DC9" w:rsidRDefault="000853C5" w:rsidP="000853C5">
      <w:pPr>
        <w:rPr>
          <w:rFonts w:ascii="Cambria" w:hAnsi="Cambria"/>
          <w:b/>
          <w:lang w:val="sk-SK"/>
        </w:rPr>
      </w:pPr>
    </w:p>
    <w:p w14:paraId="5B8F5533" w14:textId="77777777" w:rsidR="000853C5" w:rsidRPr="00224DC9" w:rsidRDefault="000853C5" w:rsidP="000853C5">
      <w:pPr>
        <w:rPr>
          <w:rFonts w:ascii="Cambria" w:hAnsi="Cambria"/>
          <w:b/>
          <w:lang w:val="sk-SK"/>
        </w:rPr>
      </w:pPr>
      <w:r w:rsidRPr="00224DC9">
        <w:rPr>
          <w:rFonts w:ascii="Cambria" w:hAnsi="Cambria"/>
          <w:b/>
          <w:lang w:val="sk-SK"/>
        </w:rPr>
        <w:lastRenderedPageBreak/>
        <w:t>Konzultácie pre nového poskytovateľa</w:t>
      </w:r>
    </w:p>
    <w:p w14:paraId="24C45C85" w14:textId="77777777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>Pod službou "Konzultácie pre nového poskytovateľa“ rozumie poskytnutie konzultácií novému poskytovateľovi o funkčnosti požadovanej časti systému a k zdrojovému kódu, ktorý uvedenú funkčnosť zabezpečuje.</w:t>
      </w:r>
    </w:p>
    <w:p w14:paraId="1C1E2FBD" w14:textId="63928924" w:rsidR="000853C5" w:rsidRPr="00224DC9" w:rsidRDefault="000853C5" w:rsidP="007301B8">
      <w:pPr>
        <w:ind w:firstLine="708"/>
        <w:jc w:val="both"/>
        <w:rPr>
          <w:rFonts w:ascii="Cambria" w:hAnsi="Cambria"/>
          <w:lang w:val="sk-SK"/>
        </w:rPr>
      </w:pPr>
      <w:r w:rsidRPr="00224DC9">
        <w:rPr>
          <w:rFonts w:ascii="Cambria" w:hAnsi="Cambria"/>
          <w:lang w:val="sk-SK"/>
        </w:rPr>
        <w:t xml:space="preserve">Poskytovateľ sa zaviaže poskytnúť verejnému obstarávateľovi na základe písomnej objednávky verejného obstarávateľa službu „Konzultácie pre nového poskytovateľa“ v rozsahu maximálne do </w:t>
      </w:r>
      <w:r w:rsidR="00041807">
        <w:rPr>
          <w:rFonts w:ascii="Cambria" w:eastAsia="Calibri" w:hAnsi="Cambria" w:cs="Calibri"/>
          <w:lang w:val="sk-SK"/>
        </w:rPr>
        <w:t>10</w:t>
      </w:r>
      <w:r w:rsidR="00041807" w:rsidRPr="00224DC9">
        <w:rPr>
          <w:rFonts w:ascii="Cambria" w:eastAsia="Calibri" w:hAnsi="Cambria" w:cs="Calibri"/>
          <w:lang w:val="sk-SK"/>
        </w:rPr>
        <w:t xml:space="preserve"> </w:t>
      </w:r>
      <w:r w:rsidR="005A6533">
        <w:rPr>
          <w:rFonts w:ascii="Cambria" w:hAnsi="Cambria"/>
          <w:lang w:val="sk-SK"/>
        </w:rPr>
        <w:t>osobodní</w:t>
      </w:r>
      <w:r w:rsidRPr="00224DC9">
        <w:rPr>
          <w:rFonts w:ascii="Cambria" w:hAnsi="Cambria"/>
          <w:lang w:val="sk-SK"/>
        </w:rPr>
        <w:t>.</w:t>
      </w:r>
    </w:p>
    <w:p w14:paraId="4D1A1BD5" w14:textId="77777777" w:rsidR="000853C5" w:rsidRPr="00224DC9" w:rsidRDefault="000853C5" w:rsidP="000853C5">
      <w:pPr>
        <w:rPr>
          <w:rFonts w:ascii="Cambria" w:hAnsi="Cambria"/>
          <w:lang w:val="sk-SK"/>
        </w:rPr>
      </w:pPr>
    </w:p>
    <w:bookmarkEnd w:id="1"/>
    <w:p w14:paraId="2409ECD3" w14:textId="77777777" w:rsidR="00FD57F8" w:rsidRPr="00224DC9" w:rsidRDefault="00FD57F8" w:rsidP="00C17627">
      <w:pPr>
        <w:pStyle w:val="Zarkazkladnhotextu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</w:p>
    <w:sectPr w:rsidR="00FD57F8" w:rsidRPr="00224DC9" w:rsidSect="001C6521">
      <w:headerReference w:type="default" r:id="rId11"/>
      <w:footerReference w:type="default" r:id="rId12"/>
      <w:pgSz w:w="11906" w:h="16838"/>
      <w:pgMar w:top="1134" w:right="1134" w:bottom="16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6D08" w14:textId="77777777" w:rsidR="00C77CD7" w:rsidRDefault="00C77CD7">
      <w:r>
        <w:separator/>
      </w:r>
    </w:p>
  </w:endnote>
  <w:endnote w:type="continuationSeparator" w:id="0">
    <w:p w14:paraId="038840E6" w14:textId="77777777" w:rsidR="00C77CD7" w:rsidRDefault="00C77CD7">
      <w:r>
        <w:continuationSeparator/>
      </w:r>
    </w:p>
  </w:endnote>
  <w:endnote w:type="continuationNotice" w:id="1">
    <w:p w14:paraId="18EC8229" w14:textId="77777777" w:rsidR="00C77CD7" w:rsidRDefault="00C77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803C" w14:textId="68F7CBC8" w:rsidR="00211EC1" w:rsidRPr="00C961FC" w:rsidRDefault="00C0270E">
    <w:pPr>
      <w:jc w:val="center"/>
      <w:rPr>
        <w:rFonts w:ascii="Cambria" w:hAnsi="Cambria" w:cstheme="minorBidi"/>
        <w:sz w:val="20"/>
        <w:szCs w:val="20"/>
        <w:lang w:val="sk-SK" w:eastAsia="sk-SK"/>
      </w:rPr>
    </w:pPr>
    <w:r w:rsidRPr="001C6521">
      <w:rPr>
        <w:rFonts w:ascii="Cambria" w:hAnsi="Cambria" w:cstheme="minorBidi"/>
        <w:sz w:val="20"/>
        <w:szCs w:val="20"/>
      </w:rPr>
      <w:t xml:space="preserve">Strana </w:t>
    </w:r>
    <w:r w:rsidRPr="001C6521">
      <w:rPr>
        <w:rFonts w:ascii="Cambria" w:hAnsi="Cambria" w:cstheme="minorBidi"/>
        <w:sz w:val="20"/>
        <w:szCs w:val="20"/>
      </w:rPr>
      <w:fldChar w:fldCharType="begin"/>
    </w:r>
    <w:r w:rsidRPr="486003D8">
      <w:rPr>
        <w:rFonts w:ascii="Cambria" w:hAnsi="Cambria" w:cstheme="minorBidi"/>
        <w:sz w:val="20"/>
        <w:szCs w:val="20"/>
      </w:rPr>
      <w:instrText xml:space="preserve"> PAGE  \* MERGEFORMAT </w:instrText>
    </w:r>
    <w:r w:rsidRPr="001C6521">
      <w:rPr>
        <w:rFonts w:ascii="Cambria" w:hAnsi="Cambria" w:cstheme="minorBidi"/>
        <w:sz w:val="20"/>
        <w:szCs w:val="20"/>
      </w:rPr>
      <w:fldChar w:fldCharType="separate"/>
    </w:r>
    <w:r w:rsidRPr="001C6521">
      <w:rPr>
        <w:rFonts w:ascii="Cambria" w:hAnsi="Cambria" w:cstheme="minorBidi"/>
        <w:sz w:val="20"/>
        <w:szCs w:val="20"/>
      </w:rPr>
      <w:t>1</w:t>
    </w:r>
    <w:r w:rsidRPr="001C6521">
      <w:rPr>
        <w:rFonts w:ascii="Cambria" w:hAnsi="Cambria" w:cstheme="minorBidi"/>
        <w:sz w:val="20"/>
        <w:szCs w:val="20"/>
      </w:rPr>
      <w:fldChar w:fldCharType="end"/>
    </w:r>
    <w:r w:rsidRPr="001C6521">
      <w:rPr>
        <w:rFonts w:ascii="Cambria" w:hAnsi="Cambria" w:cstheme="minorBidi"/>
        <w:sz w:val="20"/>
        <w:szCs w:val="20"/>
      </w:rPr>
      <w:t xml:space="preserve"> / </w:t>
    </w:r>
    <w:r w:rsidRPr="00C961FC">
      <w:rPr>
        <w:rFonts w:ascii="Cambria" w:hAnsi="Cambria" w:cstheme="minorBidi"/>
        <w:noProof/>
        <w:sz w:val="20"/>
        <w:szCs w:val="20"/>
      </w:rPr>
      <w:fldChar w:fldCharType="begin"/>
    </w:r>
    <w:r w:rsidRPr="486003D8">
      <w:rPr>
        <w:rFonts w:ascii="Cambria" w:hAnsi="Cambria" w:cstheme="minorBidi"/>
        <w:sz w:val="20"/>
        <w:szCs w:val="20"/>
      </w:rPr>
      <w:instrText xml:space="preserve"> SECTIONPAGES  \* MERGEFORMAT </w:instrText>
    </w:r>
    <w:r w:rsidRPr="00C961FC">
      <w:rPr>
        <w:rFonts w:ascii="Cambria" w:hAnsi="Cambria" w:cstheme="minorBidi"/>
        <w:sz w:val="20"/>
        <w:szCs w:val="20"/>
      </w:rPr>
      <w:fldChar w:fldCharType="separate"/>
    </w:r>
    <w:r w:rsidR="00205B9F">
      <w:rPr>
        <w:rFonts w:ascii="Cambria" w:hAnsi="Cambria" w:cstheme="minorBidi"/>
        <w:noProof/>
        <w:sz w:val="20"/>
        <w:szCs w:val="20"/>
      </w:rPr>
      <w:t>9</w:t>
    </w:r>
    <w:r w:rsidRPr="00C961FC">
      <w:rPr>
        <w:rFonts w:ascii="Cambria" w:hAnsi="Cambria" w:cstheme="min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A536" w14:textId="77777777" w:rsidR="00C77CD7" w:rsidRDefault="00C77CD7">
      <w:r>
        <w:separator/>
      </w:r>
    </w:p>
  </w:footnote>
  <w:footnote w:type="continuationSeparator" w:id="0">
    <w:p w14:paraId="7D760419" w14:textId="77777777" w:rsidR="00C77CD7" w:rsidRDefault="00C77CD7">
      <w:r>
        <w:continuationSeparator/>
      </w:r>
    </w:p>
  </w:footnote>
  <w:footnote w:type="continuationNotice" w:id="1">
    <w:p w14:paraId="078C72A8" w14:textId="77777777" w:rsidR="00C77CD7" w:rsidRDefault="00C77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B7A9" w14:textId="37F2F97B" w:rsidR="00F55AF7" w:rsidRPr="00C961FC" w:rsidRDefault="00F55AF7" w:rsidP="3348030E">
    <w:pPr>
      <w:pStyle w:val="Zkladntext"/>
      <w:jc w:val="right"/>
      <w:rPr>
        <w:rFonts w:ascii="Cambria" w:hAnsi="Cambria"/>
        <w:i/>
        <w:iCs/>
        <w:sz w:val="22"/>
        <w:szCs w:val="22"/>
      </w:rPr>
    </w:pPr>
    <w:r w:rsidRPr="3348030E">
      <w:rPr>
        <w:rFonts w:ascii="Cambria" w:hAnsi="Cambria"/>
        <w:i/>
        <w:iCs/>
        <w:sz w:val="22"/>
        <w:szCs w:val="22"/>
      </w:rPr>
      <w:t>Príloha č.</w:t>
    </w:r>
    <w:r w:rsidR="00C0270E" w:rsidRPr="3348030E">
      <w:rPr>
        <w:rFonts w:ascii="Cambria" w:hAnsi="Cambria"/>
        <w:i/>
        <w:iCs/>
        <w:sz w:val="22"/>
        <w:szCs w:val="22"/>
      </w:rPr>
      <w:t xml:space="preserve"> </w:t>
    </w:r>
    <w:r w:rsidRPr="3348030E">
      <w:rPr>
        <w:rFonts w:ascii="Cambria" w:hAnsi="Cambria"/>
        <w:i/>
        <w:iCs/>
        <w:sz w:val="22"/>
        <w:szCs w:val="22"/>
      </w:rPr>
      <w:t xml:space="preserve">2 k Servisnej zmluve č. </w:t>
    </w:r>
    <w:r w:rsidR="003C5729" w:rsidRPr="003C5729">
      <w:rPr>
        <w:rFonts w:ascii="Cambria" w:hAnsi="Cambria"/>
        <w:i/>
        <w:iCs/>
        <w:sz w:val="22"/>
        <w:szCs w:val="22"/>
      </w:rPr>
      <w:t>C-NBS1-000-115-058</w:t>
    </w:r>
  </w:p>
  <w:p w14:paraId="4E208EE8" w14:textId="086650CF" w:rsidR="00211EC1" w:rsidRDefault="00F36C6D">
    <w:pPr>
      <w:pStyle w:val="Hlavik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7D61C6" wp14:editId="5525060F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172200" cy="0"/>
              <wp:effectExtent l="0" t="635" r="0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38AB238B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2.05pt" to="486pt,12.05pt" w14:anchorId="7BA50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DMXjejbAAAABgEAAA8AAAAAAAAAAAAAAAAACQQAAGRycy9kb3ducmV2Lnht&#10;bFBLBQYAAAAABAAEAPMAAAARBQAAAAA=&#10;"/>
          </w:pict>
        </mc:Fallback>
      </mc:AlternateContent>
    </w:r>
  </w:p>
  <w:p w14:paraId="5217432E" w14:textId="77777777" w:rsidR="00211EC1" w:rsidRDefault="00211E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5E9"/>
    <w:multiLevelType w:val="hybridMultilevel"/>
    <w:tmpl w:val="C97C5444"/>
    <w:lvl w:ilvl="0" w:tplc="C3484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6869"/>
    <w:multiLevelType w:val="hybridMultilevel"/>
    <w:tmpl w:val="9C18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D9F"/>
    <w:multiLevelType w:val="hybridMultilevel"/>
    <w:tmpl w:val="FE76BD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46E31"/>
    <w:multiLevelType w:val="multilevel"/>
    <w:tmpl w:val="2AA8F514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84049"/>
    <w:multiLevelType w:val="hybridMultilevel"/>
    <w:tmpl w:val="031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54252"/>
    <w:multiLevelType w:val="hybridMultilevel"/>
    <w:tmpl w:val="EB02617A"/>
    <w:lvl w:ilvl="0" w:tplc="FFFFFFFF">
      <w:start w:val="1"/>
      <w:numFmt w:val="decimal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2378E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1421D9"/>
    <w:multiLevelType w:val="hybridMultilevel"/>
    <w:tmpl w:val="8B940F42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5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27A656CD"/>
    <w:multiLevelType w:val="hybridMultilevel"/>
    <w:tmpl w:val="96222AD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E21F49"/>
    <w:multiLevelType w:val="multilevel"/>
    <w:tmpl w:val="0F8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8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4372A4"/>
    <w:multiLevelType w:val="hybridMultilevel"/>
    <w:tmpl w:val="87DC695C"/>
    <w:lvl w:ilvl="0" w:tplc="83D4F0EC">
      <w:start w:val="1"/>
      <w:numFmt w:val="lowerRoman"/>
      <w:lvlText w:val="(%1)"/>
      <w:lvlJc w:val="left"/>
      <w:pPr>
        <w:ind w:left="1579" w:hanging="720"/>
      </w:pPr>
      <w:rPr>
        <w:rFonts w:hint="default"/>
        <w:w w:val="100"/>
      </w:rPr>
    </w:lvl>
    <w:lvl w:ilvl="1" w:tplc="1EFE6E46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D4C18EA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7A8B2E8"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00924826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4AA4E50E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43A55A0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6C44FB3A"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742A1352"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20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11854"/>
    <w:multiLevelType w:val="hybridMultilevel"/>
    <w:tmpl w:val="0D76A76C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E666C"/>
    <w:multiLevelType w:val="hybridMultilevel"/>
    <w:tmpl w:val="17C8B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2418B"/>
    <w:multiLevelType w:val="hybridMultilevel"/>
    <w:tmpl w:val="2A30F87A"/>
    <w:lvl w:ilvl="0" w:tplc="D638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F235EC"/>
    <w:multiLevelType w:val="multilevel"/>
    <w:tmpl w:val="81865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5A5733"/>
    <w:multiLevelType w:val="hybridMultilevel"/>
    <w:tmpl w:val="33DAB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2B6104"/>
    <w:multiLevelType w:val="hybridMultilevel"/>
    <w:tmpl w:val="D22CA274"/>
    <w:lvl w:ilvl="0" w:tplc="6614ADB6">
      <w:start w:val="1"/>
      <w:numFmt w:val="bullet"/>
      <w:lvlText w:val="-"/>
      <w:lvlJc w:val="left"/>
      <w:pPr>
        <w:ind w:left="1776" w:hanging="360"/>
      </w:pPr>
      <w:rPr>
        <w:rFonts w:ascii="Cambria" w:eastAsia="Times New Roman" w:hAnsi="Cambria" w:cs="Tahoma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3D9779D3"/>
    <w:multiLevelType w:val="hybridMultilevel"/>
    <w:tmpl w:val="FFFFFFFF"/>
    <w:lvl w:ilvl="0" w:tplc="A9BAB944">
      <w:start w:val="1"/>
      <w:numFmt w:val="decimal"/>
      <w:lvlText w:val="%1."/>
      <w:lvlJc w:val="left"/>
      <w:pPr>
        <w:ind w:left="720" w:hanging="360"/>
      </w:pPr>
    </w:lvl>
    <w:lvl w:ilvl="1" w:tplc="1EBEA7C0">
      <w:start w:val="1"/>
      <w:numFmt w:val="lowerLetter"/>
      <w:lvlText w:val="%2."/>
      <w:lvlJc w:val="left"/>
      <w:pPr>
        <w:ind w:left="1440" w:hanging="360"/>
      </w:pPr>
    </w:lvl>
    <w:lvl w:ilvl="2" w:tplc="11484F74">
      <w:start w:val="1"/>
      <w:numFmt w:val="lowerRoman"/>
      <w:lvlText w:val="%3."/>
      <w:lvlJc w:val="right"/>
      <w:pPr>
        <w:ind w:left="2160" w:hanging="180"/>
      </w:pPr>
    </w:lvl>
    <w:lvl w:ilvl="3" w:tplc="A9EEBC90">
      <w:start w:val="1"/>
      <w:numFmt w:val="decimal"/>
      <w:lvlText w:val="%4."/>
      <w:lvlJc w:val="left"/>
      <w:pPr>
        <w:ind w:left="2880" w:hanging="360"/>
      </w:pPr>
    </w:lvl>
    <w:lvl w:ilvl="4" w:tplc="76200DB0">
      <w:start w:val="1"/>
      <w:numFmt w:val="lowerLetter"/>
      <w:lvlText w:val="%5."/>
      <w:lvlJc w:val="left"/>
      <w:pPr>
        <w:ind w:left="3600" w:hanging="360"/>
      </w:pPr>
    </w:lvl>
    <w:lvl w:ilvl="5" w:tplc="781AF940">
      <w:start w:val="1"/>
      <w:numFmt w:val="lowerRoman"/>
      <w:lvlText w:val="%6."/>
      <w:lvlJc w:val="right"/>
      <w:pPr>
        <w:ind w:left="4320" w:hanging="180"/>
      </w:pPr>
    </w:lvl>
    <w:lvl w:ilvl="6" w:tplc="95D8214E">
      <w:start w:val="1"/>
      <w:numFmt w:val="decimal"/>
      <w:lvlText w:val="%7."/>
      <w:lvlJc w:val="left"/>
      <w:pPr>
        <w:ind w:left="5040" w:hanging="360"/>
      </w:pPr>
    </w:lvl>
    <w:lvl w:ilvl="7" w:tplc="380C92C6">
      <w:start w:val="1"/>
      <w:numFmt w:val="lowerLetter"/>
      <w:lvlText w:val="%8."/>
      <w:lvlJc w:val="left"/>
      <w:pPr>
        <w:ind w:left="5760" w:hanging="360"/>
      </w:pPr>
    </w:lvl>
    <w:lvl w:ilvl="8" w:tplc="3448F87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9" w15:restartNumberingAfterBreak="0">
    <w:nsid w:val="4072235B"/>
    <w:multiLevelType w:val="hybridMultilevel"/>
    <w:tmpl w:val="1C7AB64C"/>
    <w:name w:val="List Bullet 2"/>
    <w:lvl w:ilvl="0" w:tplc="FFFFFFFF">
      <w:start w:val="1"/>
      <w:numFmt w:val="lowerLetter"/>
      <w:lvlText w:val="%1)"/>
      <w:lvlJc w:val="left"/>
      <w:pPr>
        <w:tabs>
          <w:tab w:val="num" w:pos="-42"/>
        </w:tabs>
        <w:ind w:left="-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78"/>
        </w:tabs>
        <w:ind w:left="6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98"/>
        </w:tabs>
        <w:ind w:left="13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38"/>
        </w:tabs>
        <w:ind w:left="28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58"/>
        </w:tabs>
        <w:ind w:left="35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78"/>
        </w:tabs>
        <w:ind w:left="42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98"/>
        </w:tabs>
        <w:ind w:left="49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18"/>
        </w:tabs>
        <w:ind w:left="5718" w:hanging="180"/>
      </w:pPr>
    </w:lvl>
  </w:abstractNum>
  <w:abstractNum w:abstractNumId="30" w15:restartNumberingAfterBreak="0">
    <w:nsid w:val="43583CCF"/>
    <w:multiLevelType w:val="hybridMultilevel"/>
    <w:tmpl w:val="0B0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443D21E5"/>
    <w:multiLevelType w:val="multilevel"/>
    <w:tmpl w:val="058063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466C2"/>
    <w:multiLevelType w:val="hybridMultilevel"/>
    <w:tmpl w:val="8FEE1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51F04E7"/>
    <w:multiLevelType w:val="hybridMultilevel"/>
    <w:tmpl w:val="751AD88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489702A0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9D7079B"/>
    <w:multiLevelType w:val="hybridMultilevel"/>
    <w:tmpl w:val="B21AFC12"/>
    <w:lvl w:ilvl="0" w:tplc="36D01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A7872"/>
    <w:multiLevelType w:val="multilevel"/>
    <w:tmpl w:val="7DC08F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74D0B"/>
    <w:multiLevelType w:val="hybridMultilevel"/>
    <w:tmpl w:val="DD326964"/>
    <w:lvl w:ilvl="0" w:tplc="B69650CE">
      <w:start w:val="1"/>
      <w:numFmt w:val="decimal"/>
      <w:lvlText w:val="%1."/>
      <w:lvlJc w:val="left"/>
      <w:pPr>
        <w:ind w:left="578" w:hanging="286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FF4A83E">
      <w:start w:val="1"/>
      <w:numFmt w:val="lowerLetter"/>
      <w:lvlText w:val="%2)"/>
      <w:lvlJc w:val="left"/>
      <w:pPr>
        <w:ind w:left="859" w:hanging="281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AA8BF1A">
      <w:numFmt w:val="bullet"/>
      <w:lvlText w:val="•"/>
      <w:lvlJc w:val="left"/>
      <w:pPr>
        <w:ind w:left="1805" w:hanging="281"/>
      </w:pPr>
      <w:rPr>
        <w:rFonts w:hint="default"/>
      </w:rPr>
    </w:lvl>
    <w:lvl w:ilvl="3" w:tplc="C22A792C">
      <w:numFmt w:val="bullet"/>
      <w:lvlText w:val="•"/>
      <w:lvlJc w:val="left"/>
      <w:pPr>
        <w:ind w:left="2750" w:hanging="281"/>
      </w:pPr>
      <w:rPr>
        <w:rFonts w:hint="default"/>
      </w:rPr>
    </w:lvl>
    <w:lvl w:ilvl="4" w:tplc="FFECCBB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966059C0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ACB4FF12"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21AC3FC6"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ECEE05EC">
      <w:numFmt w:val="bullet"/>
      <w:lvlText w:val="•"/>
      <w:lvlJc w:val="left"/>
      <w:pPr>
        <w:ind w:left="7476" w:hanging="281"/>
      </w:pPr>
      <w:rPr>
        <w:rFonts w:hint="default"/>
      </w:rPr>
    </w:lvl>
  </w:abstractNum>
  <w:abstractNum w:abstractNumId="40" w15:restartNumberingAfterBreak="0">
    <w:nsid w:val="5CBD7FA2"/>
    <w:multiLevelType w:val="multilevel"/>
    <w:tmpl w:val="69DC8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4" w15:restartNumberingAfterBreak="0">
    <w:nsid w:val="705367AB"/>
    <w:multiLevelType w:val="hybridMultilevel"/>
    <w:tmpl w:val="FFFFFFFF"/>
    <w:lvl w:ilvl="0" w:tplc="982C4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27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A8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5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6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24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60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3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0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A2B8F"/>
    <w:multiLevelType w:val="hybridMultilevel"/>
    <w:tmpl w:val="783ABAF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8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929"/>
    <w:multiLevelType w:val="multilevel"/>
    <w:tmpl w:val="224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 w16cid:durableId="986977109">
    <w:abstractNumId w:val="9"/>
  </w:num>
  <w:num w:numId="2" w16cid:durableId="1033503726">
    <w:abstractNumId w:val="5"/>
  </w:num>
  <w:num w:numId="3" w16cid:durableId="893740736">
    <w:abstractNumId w:val="34"/>
  </w:num>
  <w:num w:numId="4" w16cid:durableId="480468906">
    <w:abstractNumId w:val="45"/>
  </w:num>
  <w:num w:numId="5" w16cid:durableId="2056738794">
    <w:abstractNumId w:val="17"/>
  </w:num>
  <w:num w:numId="6" w16cid:durableId="606892815">
    <w:abstractNumId w:val="49"/>
  </w:num>
  <w:num w:numId="7" w16cid:durableId="112333396">
    <w:abstractNumId w:val="43"/>
  </w:num>
  <w:num w:numId="8" w16cid:durableId="1759323955">
    <w:abstractNumId w:val="28"/>
  </w:num>
  <w:num w:numId="9" w16cid:durableId="1603143960">
    <w:abstractNumId w:val="47"/>
  </w:num>
  <w:num w:numId="10" w16cid:durableId="1876387543">
    <w:abstractNumId w:val="37"/>
  </w:num>
  <w:num w:numId="11" w16cid:durableId="2063365010">
    <w:abstractNumId w:val="25"/>
  </w:num>
  <w:num w:numId="12" w16cid:durableId="1659655654">
    <w:abstractNumId w:val="21"/>
  </w:num>
  <w:num w:numId="13" w16cid:durableId="1917088177">
    <w:abstractNumId w:val="11"/>
  </w:num>
  <w:num w:numId="14" w16cid:durableId="80880537">
    <w:abstractNumId w:val="14"/>
  </w:num>
  <w:num w:numId="15" w16cid:durableId="1877960434">
    <w:abstractNumId w:val="46"/>
  </w:num>
  <w:num w:numId="16" w16cid:durableId="651450708">
    <w:abstractNumId w:val="33"/>
  </w:num>
  <w:num w:numId="17" w16cid:durableId="2041011687">
    <w:abstractNumId w:val="40"/>
  </w:num>
  <w:num w:numId="18" w16cid:durableId="920872501">
    <w:abstractNumId w:val="30"/>
  </w:num>
  <w:num w:numId="19" w16cid:durableId="1391417586">
    <w:abstractNumId w:val="13"/>
  </w:num>
  <w:num w:numId="20" w16cid:durableId="1909265808">
    <w:abstractNumId w:val="23"/>
  </w:num>
  <w:num w:numId="21" w16cid:durableId="173807083">
    <w:abstractNumId w:val="19"/>
  </w:num>
  <w:num w:numId="22" w16cid:durableId="1526551145">
    <w:abstractNumId w:val="39"/>
  </w:num>
  <w:num w:numId="23" w16cid:durableId="2096004693">
    <w:abstractNumId w:val="32"/>
  </w:num>
  <w:num w:numId="24" w16cid:durableId="795028928">
    <w:abstractNumId w:val="35"/>
  </w:num>
  <w:num w:numId="25" w16cid:durableId="21443486">
    <w:abstractNumId w:val="10"/>
  </w:num>
  <w:num w:numId="26" w16cid:durableId="1759860191">
    <w:abstractNumId w:val="3"/>
  </w:num>
  <w:num w:numId="27" w16cid:durableId="686296040">
    <w:abstractNumId w:val="0"/>
  </w:num>
  <w:num w:numId="28" w16cid:durableId="1357542966">
    <w:abstractNumId w:val="15"/>
  </w:num>
  <w:num w:numId="29" w16cid:durableId="1356274505">
    <w:abstractNumId w:val="12"/>
  </w:num>
  <w:num w:numId="30" w16cid:durableId="1764300968">
    <w:abstractNumId w:val="4"/>
  </w:num>
  <w:num w:numId="31" w16cid:durableId="769199854">
    <w:abstractNumId w:val="20"/>
  </w:num>
  <w:num w:numId="32" w16cid:durableId="1640643416">
    <w:abstractNumId w:val="42"/>
  </w:num>
  <w:num w:numId="33" w16cid:durableId="919562856">
    <w:abstractNumId w:val="41"/>
  </w:num>
  <w:num w:numId="34" w16cid:durableId="1965194656">
    <w:abstractNumId w:val="6"/>
  </w:num>
  <w:num w:numId="35" w16cid:durableId="2076317032">
    <w:abstractNumId w:val="38"/>
  </w:num>
  <w:num w:numId="36" w16cid:durableId="1974098473">
    <w:abstractNumId w:val="7"/>
  </w:num>
  <w:num w:numId="37" w16cid:durableId="2098356711">
    <w:abstractNumId w:val="1"/>
  </w:num>
  <w:num w:numId="38" w16cid:durableId="2137990336">
    <w:abstractNumId w:val="48"/>
  </w:num>
  <w:num w:numId="39" w16cid:durableId="928343749">
    <w:abstractNumId w:val="26"/>
  </w:num>
  <w:num w:numId="40" w16cid:durableId="1857957052">
    <w:abstractNumId w:val="16"/>
  </w:num>
  <w:num w:numId="41" w16cid:durableId="731851180">
    <w:abstractNumId w:val="8"/>
  </w:num>
  <w:num w:numId="42" w16cid:durableId="71974620">
    <w:abstractNumId w:val="22"/>
  </w:num>
  <w:num w:numId="43" w16cid:durableId="943196685">
    <w:abstractNumId w:val="36"/>
  </w:num>
  <w:num w:numId="44" w16cid:durableId="3407918">
    <w:abstractNumId w:val="18"/>
  </w:num>
  <w:num w:numId="45" w16cid:durableId="1868105609">
    <w:abstractNumId w:val="24"/>
  </w:num>
  <w:num w:numId="46" w16cid:durableId="858543538">
    <w:abstractNumId w:val="31"/>
  </w:num>
  <w:num w:numId="47" w16cid:durableId="1674450096">
    <w:abstractNumId w:val="44"/>
  </w:num>
  <w:num w:numId="48" w16cid:durableId="2023820771">
    <w:abstractNumId w:val="27"/>
  </w:num>
  <w:num w:numId="49" w16cid:durableId="160368140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C"/>
    <w:rsid w:val="00002DD6"/>
    <w:rsid w:val="000034AD"/>
    <w:rsid w:val="00004A7C"/>
    <w:rsid w:val="00006644"/>
    <w:rsid w:val="0000692F"/>
    <w:rsid w:val="0001067A"/>
    <w:rsid w:val="00011DC9"/>
    <w:rsid w:val="00013EB0"/>
    <w:rsid w:val="000142B3"/>
    <w:rsid w:val="00017E8D"/>
    <w:rsid w:val="000219BF"/>
    <w:rsid w:val="00021BD7"/>
    <w:rsid w:val="000265D8"/>
    <w:rsid w:val="000272BE"/>
    <w:rsid w:val="000273A3"/>
    <w:rsid w:val="00027EDB"/>
    <w:rsid w:val="00031003"/>
    <w:rsid w:val="00031D14"/>
    <w:rsid w:val="0003297F"/>
    <w:rsid w:val="00033989"/>
    <w:rsid w:val="00037300"/>
    <w:rsid w:val="000377DA"/>
    <w:rsid w:val="00040DCC"/>
    <w:rsid w:val="0004160C"/>
    <w:rsid w:val="00041807"/>
    <w:rsid w:val="00042BAD"/>
    <w:rsid w:val="00044339"/>
    <w:rsid w:val="0005100E"/>
    <w:rsid w:val="00051D1B"/>
    <w:rsid w:val="00053A54"/>
    <w:rsid w:val="000546B9"/>
    <w:rsid w:val="00057B20"/>
    <w:rsid w:val="0006058B"/>
    <w:rsid w:val="00060C7F"/>
    <w:rsid w:val="00061078"/>
    <w:rsid w:val="00062E4D"/>
    <w:rsid w:val="00064B70"/>
    <w:rsid w:val="0006540F"/>
    <w:rsid w:val="0007051C"/>
    <w:rsid w:val="000708D8"/>
    <w:rsid w:val="00074C62"/>
    <w:rsid w:val="000750A9"/>
    <w:rsid w:val="00075625"/>
    <w:rsid w:val="000853C5"/>
    <w:rsid w:val="00085FA6"/>
    <w:rsid w:val="00086267"/>
    <w:rsid w:val="00086725"/>
    <w:rsid w:val="00087DA0"/>
    <w:rsid w:val="00091091"/>
    <w:rsid w:val="00093091"/>
    <w:rsid w:val="00093B7C"/>
    <w:rsid w:val="00093F05"/>
    <w:rsid w:val="00095041"/>
    <w:rsid w:val="00096DB0"/>
    <w:rsid w:val="00097C5A"/>
    <w:rsid w:val="000A007C"/>
    <w:rsid w:val="000A00B2"/>
    <w:rsid w:val="000A01EE"/>
    <w:rsid w:val="000A0DF8"/>
    <w:rsid w:val="000A1614"/>
    <w:rsid w:val="000A284E"/>
    <w:rsid w:val="000A359B"/>
    <w:rsid w:val="000A4B2C"/>
    <w:rsid w:val="000A5536"/>
    <w:rsid w:val="000A5636"/>
    <w:rsid w:val="000A5A70"/>
    <w:rsid w:val="000A6286"/>
    <w:rsid w:val="000B3B9E"/>
    <w:rsid w:val="000B405A"/>
    <w:rsid w:val="000B4EAE"/>
    <w:rsid w:val="000B7EFA"/>
    <w:rsid w:val="000C0A78"/>
    <w:rsid w:val="000C1D9E"/>
    <w:rsid w:val="000C3010"/>
    <w:rsid w:val="000C3B03"/>
    <w:rsid w:val="000C52EB"/>
    <w:rsid w:val="000C54E6"/>
    <w:rsid w:val="000C5A39"/>
    <w:rsid w:val="000D1B66"/>
    <w:rsid w:val="000D58DC"/>
    <w:rsid w:val="000D619C"/>
    <w:rsid w:val="000D7A41"/>
    <w:rsid w:val="000E0751"/>
    <w:rsid w:val="000E0A30"/>
    <w:rsid w:val="000E0DD0"/>
    <w:rsid w:val="000E3407"/>
    <w:rsid w:val="000F0424"/>
    <w:rsid w:val="000F1839"/>
    <w:rsid w:val="000F1C65"/>
    <w:rsid w:val="000F2C19"/>
    <w:rsid w:val="000F430B"/>
    <w:rsid w:val="000F53EB"/>
    <w:rsid w:val="000F5560"/>
    <w:rsid w:val="000F6BDA"/>
    <w:rsid w:val="00102818"/>
    <w:rsid w:val="00104A57"/>
    <w:rsid w:val="00104C3E"/>
    <w:rsid w:val="0010752D"/>
    <w:rsid w:val="00116978"/>
    <w:rsid w:val="00117E6E"/>
    <w:rsid w:val="00117ECC"/>
    <w:rsid w:val="00122DB4"/>
    <w:rsid w:val="00123985"/>
    <w:rsid w:val="00123B06"/>
    <w:rsid w:val="001261A5"/>
    <w:rsid w:val="001263C1"/>
    <w:rsid w:val="00126D99"/>
    <w:rsid w:val="001302E2"/>
    <w:rsid w:val="0013134A"/>
    <w:rsid w:val="00131BA9"/>
    <w:rsid w:val="00132F7C"/>
    <w:rsid w:val="00136B74"/>
    <w:rsid w:val="00140479"/>
    <w:rsid w:val="0014532B"/>
    <w:rsid w:val="001463F4"/>
    <w:rsid w:val="0014768C"/>
    <w:rsid w:val="00150304"/>
    <w:rsid w:val="001519E3"/>
    <w:rsid w:val="00154054"/>
    <w:rsid w:val="00154C9B"/>
    <w:rsid w:val="00154D0A"/>
    <w:rsid w:val="00155945"/>
    <w:rsid w:val="00156F0F"/>
    <w:rsid w:val="00162E85"/>
    <w:rsid w:val="001671F6"/>
    <w:rsid w:val="00167ADC"/>
    <w:rsid w:val="00171279"/>
    <w:rsid w:val="00172B67"/>
    <w:rsid w:val="00180EE1"/>
    <w:rsid w:val="00180F7E"/>
    <w:rsid w:val="0018260D"/>
    <w:rsid w:val="001831DE"/>
    <w:rsid w:val="001831E2"/>
    <w:rsid w:val="001836CC"/>
    <w:rsid w:val="00184558"/>
    <w:rsid w:val="001918D5"/>
    <w:rsid w:val="00191EF9"/>
    <w:rsid w:val="0019414E"/>
    <w:rsid w:val="001961AF"/>
    <w:rsid w:val="001A119B"/>
    <w:rsid w:val="001A1A81"/>
    <w:rsid w:val="001A39F4"/>
    <w:rsid w:val="001A5FDA"/>
    <w:rsid w:val="001A7D9F"/>
    <w:rsid w:val="001B0DC9"/>
    <w:rsid w:val="001B30AD"/>
    <w:rsid w:val="001B4145"/>
    <w:rsid w:val="001B51EE"/>
    <w:rsid w:val="001B56F7"/>
    <w:rsid w:val="001B5768"/>
    <w:rsid w:val="001B6177"/>
    <w:rsid w:val="001C016D"/>
    <w:rsid w:val="001C03A1"/>
    <w:rsid w:val="001C47A7"/>
    <w:rsid w:val="001C48CF"/>
    <w:rsid w:val="001C6521"/>
    <w:rsid w:val="001C727D"/>
    <w:rsid w:val="001C72F4"/>
    <w:rsid w:val="001D0F06"/>
    <w:rsid w:val="001D178A"/>
    <w:rsid w:val="001D37EF"/>
    <w:rsid w:val="001D6E3F"/>
    <w:rsid w:val="001D6E56"/>
    <w:rsid w:val="001E0DBB"/>
    <w:rsid w:val="001E15FF"/>
    <w:rsid w:val="001E7002"/>
    <w:rsid w:val="001E7923"/>
    <w:rsid w:val="001F2B38"/>
    <w:rsid w:val="001F3E32"/>
    <w:rsid w:val="002011E5"/>
    <w:rsid w:val="002018C5"/>
    <w:rsid w:val="002037B8"/>
    <w:rsid w:val="002046AE"/>
    <w:rsid w:val="00205B9F"/>
    <w:rsid w:val="00210DF3"/>
    <w:rsid w:val="00211EC1"/>
    <w:rsid w:val="00212819"/>
    <w:rsid w:val="00216AC4"/>
    <w:rsid w:val="00216E7C"/>
    <w:rsid w:val="002174E2"/>
    <w:rsid w:val="0022012E"/>
    <w:rsid w:val="00220A87"/>
    <w:rsid w:val="002212DB"/>
    <w:rsid w:val="00222386"/>
    <w:rsid w:val="00222AEB"/>
    <w:rsid w:val="0022480C"/>
    <w:rsid w:val="00224DC9"/>
    <w:rsid w:val="00224F08"/>
    <w:rsid w:val="002271D1"/>
    <w:rsid w:val="00230723"/>
    <w:rsid w:val="002331AA"/>
    <w:rsid w:val="002358C2"/>
    <w:rsid w:val="002372E3"/>
    <w:rsid w:val="002436C3"/>
    <w:rsid w:val="0024660B"/>
    <w:rsid w:val="002466BE"/>
    <w:rsid w:val="00251865"/>
    <w:rsid w:val="00253045"/>
    <w:rsid w:val="002534B5"/>
    <w:rsid w:val="00253F69"/>
    <w:rsid w:val="00255CC9"/>
    <w:rsid w:val="00260717"/>
    <w:rsid w:val="002613DD"/>
    <w:rsid w:val="002636AB"/>
    <w:rsid w:val="00272299"/>
    <w:rsid w:val="00273BE0"/>
    <w:rsid w:val="00273D38"/>
    <w:rsid w:val="00274B35"/>
    <w:rsid w:val="002761C6"/>
    <w:rsid w:val="002800C0"/>
    <w:rsid w:val="00283060"/>
    <w:rsid w:val="0028412D"/>
    <w:rsid w:val="00284172"/>
    <w:rsid w:val="00286951"/>
    <w:rsid w:val="00286E0B"/>
    <w:rsid w:val="0028764C"/>
    <w:rsid w:val="00287B99"/>
    <w:rsid w:val="0029057A"/>
    <w:rsid w:val="002912FB"/>
    <w:rsid w:val="00293656"/>
    <w:rsid w:val="00295689"/>
    <w:rsid w:val="00295772"/>
    <w:rsid w:val="002A04EC"/>
    <w:rsid w:val="002A1ABB"/>
    <w:rsid w:val="002A21F2"/>
    <w:rsid w:val="002A2531"/>
    <w:rsid w:val="002A7C5B"/>
    <w:rsid w:val="002B18BD"/>
    <w:rsid w:val="002B5F02"/>
    <w:rsid w:val="002B6416"/>
    <w:rsid w:val="002C039F"/>
    <w:rsid w:val="002C167E"/>
    <w:rsid w:val="002C50CC"/>
    <w:rsid w:val="002C6A9F"/>
    <w:rsid w:val="002C7D4A"/>
    <w:rsid w:val="002D06B6"/>
    <w:rsid w:val="002D0A78"/>
    <w:rsid w:val="002D33A7"/>
    <w:rsid w:val="002D3CCA"/>
    <w:rsid w:val="002D4A18"/>
    <w:rsid w:val="002E035C"/>
    <w:rsid w:val="002E09A3"/>
    <w:rsid w:val="002E1E39"/>
    <w:rsid w:val="002E3E34"/>
    <w:rsid w:val="002E4B33"/>
    <w:rsid w:val="002E51E3"/>
    <w:rsid w:val="002E6DAB"/>
    <w:rsid w:val="002E7275"/>
    <w:rsid w:val="002E7E39"/>
    <w:rsid w:val="002F1B98"/>
    <w:rsid w:val="002F270D"/>
    <w:rsid w:val="002F453B"/>
    <w:rsid w:val="002F75DF"/>
    <w:rsid w:val="002F7D4B"/>
    <w:rsid w:val="00301495"/>
    <w:rsid w:val="00301E60"/>
    <w:rsid w:val="003042E3"/>
    <w:rsid w:val="003103E9"/>
    <w:rsid w:val="00311ABE"/>
    <w:rsid w:val="00316B2C"/>
    <w:rsid w:val="00322AE9"/>
    <w:rsid w:val="003269B4"/>
    <w:rsid w:val="003318E1"/>
    <w:rsid w:val="0033405E"/>
    <w:rsid w:val="0034054D"/>
    <w:rsid w:val="003410E4"/>
    <w:rsid w:val="00342BCE"/>
    <w:rsid w:val="00342F1E"/>
    <w:rsid w:val="00346085"/>
    <w:rsid w:val="00347DA9"/>
    <w:rsid w:val="0035018C"/>
    <w:rsid w:val="00350953"/>
    <w:rsid w:val="00354784"/>
    <w:rsid w:val="003551B5"/>
    <w:rsid w:val="003556D0"/>
    <w:rsid w:val="00357B3A"/>
    <w:rsid w:val="00362F27"/>
    <w:rsid w:val="00363FBE"/>
    <w:rsid w:val="003722D6"/>
    <w:rsid w:val="00372520"/>
    <w:rsid w:val="00374182"/>
    <w:rsid w:val="00376F79"/>
    <w:rsid w:val="00377C85"/>
    <w:rsid w:val="00383E84"/>
    <w:rsid w:val="00383EF1"/>
    <w:rsid w:val="00387B61"/>
    <w:rsid w:val="003916ED"/>
    <w:rsid w:val="003921CA"/>
    <w:rsid w:val="0039256B"/>
    <w:rsid w:val="00394174"/>
    <w:rsid w:val="003941CD"/>
    <w:rsid w:val="003A0717"/>
    <w:rsid w:val="003A09DF"/>
    <w:rsid w:val="003A1153"/>
    <w:rsid w:val="003A2317"/>
    <w:rsid w:val="003A3D13"/>
    <w:rsid w:val="003A70B0"/>
    <w:rsid w:val="003B0C58"/>
    <w:rsid w:val="003B3677"/>
    <w:rsid w:val="003B549F"/>
    <w:rsid w:val="003B5C8D"/>
    <w:rsid w:val="003B6784"/>
    <w:rsid w:val="003C08E4"/>
    <w:rsid w:val="003C214B"/>
    <w:rsid w:val="003C5729"/>
    <w:rsid w:val="003C6F7C"/>
    <w:rsid w:val="003C7AD0"/>
    <w:rsid w:val="003C7B76"/>
    <w:rsid w:val="003D17AC"/>
    <w:rsid w:val="003D3B6A"/>
    <w:rsid w:val="003D490F"/>
    <w:rsid w:val="003D708C"/>
    <w:rsid w:val="003E055D"/>
    <w:rsid w:val="003E13F2"/>
    <w:rsid w:val="003E148B"/>
    <w:rsid w:val="003F0D17"/>
    <w:rsid w:val="003F2C79"/>
    <w:rsid w:val="003F3EFE"/>
    <w:rsid w:val="003F5DC7"/>
    <w:rsid w:val="003F6A19"/>
    <w:rsid w:val="003F7B88"/>
    <w:rsid w:val="00401F1E"/>
    <w:rsid w:val="00406AD1"/>
    <w:rsid w:val="00410CD2"/>
    <w:rsid w:val="00410F8A"/>
    <w:rsid w:val="00413E22"/>
    <w:rsid w:val="00416230"/>
    <w:rsid w:val="004168D4"/>
    <w:rsid w:val="00417E54"/>
    <w:rsid w:val="0042130A"/>
    <w:rsid w:val="004226D1"/>
    <w:rsid w:val="00425B39"/>
    <w:rsid w:val="004307A4"/>
    <w:rsid w:val="0043625E"/>
    <w:rsid w:val="004377E0"/>
    <w:rsid w:val="00440FE7"/>
    <w:rsid w:val="00441F47"/>
    <w:rsid w:val="0044215D"/>
    <w:rsid w:val="00443B85"/>
    <w:rsid w:val="00446285"/>
    <w:rsid w:val="004474D0"/>
    <w:rsid w:val="00447695"/>
    <w:rsid w:val="00447F09"/>
    <w:rsid w:val="00450F9E"/>
    <w:rsid w:val="00451A92"/>
    <w:rsid w:val="00456805"/>
    <w:rsid w:val="004604C3"/>
    <w:rsid w:val="00464533"/>
    <w:rsid w:val="00464B73"/>
    <w:rsid w:val="0046520B"/>
    <w:rsid w:val="00465F7D"/>
    <w:rsid w:val="0046718D"/>
    <w:rsid w:val="00467AED"/>
    <w:rsid w:val="0047038E"/>
    <w:rsid w:val="00472444"/>
    <w:rsid w:val="00474392"/>
    <w:rsid w:val="00476A04"/>
    <w:rsid w:val="0048196A"/>
    <w:rsid w:val="00482684"/>
    <w:rsid w:val="00484CF7"/>
    <w:rsid w:val="00486B0F"/>
    <w:rsid w:val="00490356"/>
    <w:rsid w:val="00490E23"/>
    <w:rsid w:val="00492881"/>
    <w:rsid w:val="004935B6"/>
    <w:rsid w:val="004946D0"/>
    <w:rsid w:val="0049704C"/>
    <w:rsid w:val="004A290D"/>
    <w:rsid w:val="004A46A1"/>
    <w:rsid w:val="004A7B78"/>
    <w:rsid w:val="004B415C"/>
    <w:rsid w:val="004B6752"/>
    <w:rsid w:val="004B681C"/>
    <w:rsid w:val="004B7CCF"/>
    <w:rsid w:val="004C2114"/>
    <w:rsid w:val="004C2E11"/>
    <w:rsid w:val="004C5902"/>
    <w:rsid w:val="004C66DC"/>
    <w:rsid w:val="004D4A60"/>
    <w:rsid w:val="004D5CE9"/>
    <w:rsid w:val="004D5D0D"/>
    <w:rsid w:val="004D5DC9"/>
    <w:rsid w:val="004D66D1"/>
    <w:rsid w:val="004E04A9"/>
    <w:rsid w:val="004E090D"/>
    <w:rsid w:val="004E20B4"/>
    <w:rsid w:val="004E28FB"/>
    <w:rsid w:val="004E29E9"/>
    <w:rsid w:val="004E426E"/>
    <w:rsid w:val="004E542D"/>
    <w:rsid w:val="004E5C1D"/>
    <w:rsid w:val="004E7519"/>
    <w:rsid w:val="004F2847"/>
    <w:rsid w:val="004F4774"/>
    <w:rsid w:val="004F674E"/>
    <w:rsid w:val="00501A2C"/>
    <w:rsid w:val="0050440D"/>
    <w:rsid w:val="00510763"/>
    <w:rsid w:val="0051161A"/>
    <w:rsid w:val="00512182"/>
    <w:rsid w:val="00514569"/>
    <w:rsid w:val="00517939"/>
    <w:rsid w:val="00521C27"/>
    <w:rsid w:val="0052483B"/>
    <w:rsid w:val="0052544C"/>
    <w:rsid w:val="005273CE"/>
    <w:rsid w:val="00527A29"/>
    <w:rsid w:val="00530C3E"/>
    <w:rsid w:val="0053127A"/>
    <w:rsid w:val="00536AE2"/>
    <w:rsid w:val="005375CB"/>
    <w:rsid w:val="00540857"/>
    <w:rsid w:val="00542723"/>
    <w:rsid w:val="0054370F"/>
    <w:rsid w:val="00544503"/>
    <w:rsid w:val="00544BFB"/>
    <w:rsid w:val="00544F4F"/>
    <w:rsid w:val="00546060"/>
    <w:rsid w:val="00546BB8"/>
    <w:rsid w:val="00550122"/>
    <w:rsid w:val="00550671"/>
    <w:rsid w:val="00551177"/>
    <w:rsid w:val="00553F94"/>
    <w:rsid w:val="005559F6"/>
    <w:rsid w:val="00561442"/>
    <w:rsid w:val="005629A5"/>
    <w:rsid w:val="00564B4F"/>
    <w:rsid w:val="00567239"/>
    <w:rsid w:val="00571545"/>
    <w:rsid w:val="00572E6A"/>
    <w:rsid w:val="005748BD"/>
    <w:rsid w:val="00576B9A"/>
    <w:rsid w:val="00577707"/>
    <w:rsid w:val="00577B63"/>
    <w:rsid w:val="00581072"/>
    <w:rsid w:val="00581DE5"/>
    <w:rsid w:val="0058555D"/>
    <w:rsid w:val="00586D77"/>
    <w:rsid w:val="005872CE"/>
    <w:rsid w:val="00593220"/>
    <w:rsid w:val="005944FA"/>
    <w:rsid w:val="005A6533"/>
    <w:rsid w:val="005B01F1"/>
    <w:rsid w:val="005B29A0"/>
    <w:rsid w:val="005B34FF"/>
    <w:rsid w:val="005B7474"/>
    <w:rsid w:val="005BB184"/>
    <w:rsid w:val="005C73EC"/>
    <w:rsid w:val="005D0261"/>
    <w:rsid w:val="005D0CD1"/>
    <w:rsid w:val="005D2539"/>
    <w:rsid w:val="005D3ABD"/>
    <w:rsid w:val="005D6E03"/>
    <w:rsid w:val="005D79AE"/>
    <w:rsid w:val="005E12C3"/>
    <w:rsid w:val="005E6CC4"/>
    <w:rsid w:val="005F006A"/>
    <w:rsid w:val="005F03FF"/>
    <w:rsid w:val="005F0786"/>
    <w:rsid w:val="005F0C6C"/>
    <w:rsid w:val="005F441B"/>
    <w:rsid w:val="005F61ED"/>
    <w:rsid w:val="005F6755"/>
    <w:rsid w:val="00600E3A"/>
    <w:rsid w:val="006044F7"/>
    <w:rsid w:val="006071A7"/>
    <w:rsid w:val="0061190B"/>
    <w:rsid w:val="0061558E"/>
    <w:rsid w:val="00616CFC"/>
    <w:rsid w:val="00617ADC"/>
    <w:rsid w:val="00620424"/>
    <w:rsid w:val="00620451"/>
    <w:rsid w:val="006214A3"/>
    <w:rsid w:val="0062286E"/>
    <w:rsid w:val="00624A28"/>
    <w:rsid w:val="00625A2D"/>
    <w:rsid w:val="0063237B"/>
    <w:rsid w:val="00634021"/>
    <w:rsid w:val="00635E45"/>
    <w:rsid w:val="00636AE5"/>
    <w:rsid w:val="006400EB"/>
    <w:rsid w:val="00640978"/>
    <w:rsid w:val="0064176D"/>
    <w:rsid w:val="0064202A"/>
    <w:rsid w:val="00645336"/>
    <w:rsid w:val="00647129"/>
    <w:rsid w:val="0065013F"/>
    <w:rsid w:val="00650F6B"/>
    <w:rsid w:val="00650F84"/>
    <w:rsid w:val="00651551"/>
    <w:rsid w:val="00654435"/>
    <w:rsid w:val="00657AEA"/>
    <w:rsid w:val="00660949"/>
    <w:rsid w:val="0066103E"/>
    <w:rsid w:val="00666F5B"/>
    <w:rsid w:val="00670672"/>
    <w:rsid w:val="00671144"/>
    <w:rsid w:val="00673B0D"/>
    <w:rsid w:val="00677DC6"/>
    <w:rsid w:val="006805FC"/>
    <w:rsid w:val="00684361"/>
    <w:rsid w:val="00685A12"/>
    <w:rsid w:val="0068653F"/>
    <w:rsid w:val="006909A4"/>
    <w:rsid w:val="0069144E"/>
    <w:rsid w:val="00691F59"/>
    <w:rsid w:val="0069423E"/>
    <w:rsid w:val="0069574A"/>
    <w:rsid w:val="00695CD4"/>
    <w:rsid w:val="00696BA0"/>
    <w:rsid w:val="00696F76"/>
    <w:rsid w:val="006A301D"/>
    <w:rsid w:val="006A427F"/>
    <w:rsid w:val="006A6811"/>
    <w:rsid w:val="006B0186"/>
    <w:rsid w:val="006B1180"/>
    <w:rsid w:val="006B41EB"/>
    <w:rsid w:val="006B47F4"/>
    <w:rsid w:val="006B4BEE"/>
    <w:rsid w:val="006B70B3"/>
    <w:rsid w:val="006C1C26"/>
    <w:rsid w:val="006C54B2"/>
    <w:rsid w:val="006C54CE"/>
    <w:rsid w:val="006C609B"/>
    <w:rsid w:val="006C7044"/>
    <w:rsid w:val="006D067B"/>
    <w:rsid w:val="006D14C7"/>
    <w:rsid w:val="006D1D70"/>
    <w:rsid w:val="006D2CC8"/>
    <w:rsid w:val="006D4904"/>
    <w:rsid w:val="006D62B2"/>
    <w:rsid w:val="006D6E31"/>
    <w:rsid w:val="006D7B4A"/>
    <w:rsid w:val="006E181D"/>
    <w:rsid w:val="006E25BC"/>
    <w:rsid w:val="006F0582"/>
    <w:rsid w:val="006F2961"/>
    <w:rsid w:val="006F41F0"/>
    <w:rsid w:val="006F720A"/>
    <w:rsid w:val="006F7650"/>
    <w:rsid w:val="007105F2"/>
    <w:rsid w:val="00712AAD"/>
    <w:rsid w:val="00722F61"/>
    <w:rsid w:val="00725509"/>
    <w:rsid w:val="007262EF"/>
    <w:rsid w:val="007301B8"/>
    <w:rsid w:val="0073392E"/>
    <w:rsid w:val="00734086"/>
    <w:rsid w:val="00734A06"/>
    <w:rsid w:val="00734A4B"/>
    <w:rsid w:val="00734EA9"/>
    <w:rsid w:val="00735E68"/>
    <w:rsid w:val="007361B3"/>
    <w:rsid w:val="00737B39"/>
    <w:rsid w:val="00747AA5"/>
    <w:rsid w:val="00750BDD"/>
    <w:rsid w:val="00751007"/>
    <w:rsid w:val="007533CF"/>
    <w:rsid w:val="007551F2"/>
    <w:rsid w:val="00756F6C"/>
    <w:rsid w:val="007604F9"/>
    <w:rsid w:val="0076167D"/>
    <w:rsid w:val="0076266E"/>
    <w:rsid w:val="007702FD"/>
    <w:rsid w:val="007706E4"/>
    <w:rsid w:val="007709C2"/>
    <w:rsid w:val="00771345"/>
    <w:rsid w:val="00771631"/>
    <w:rsid w:val="007723DB"/>
    <w:rsid w:val="00772905"/>
    <w:rsid w:val="0077327D"/>
    <w:rsid w:val="00774F40"/>
    <w:rsid w:val="0077654F"/>
    <w:rsid w:val="0077757A"/>
    <w:rsid w:val="00777A05"/>
    <w:rsid w:val="00782105"/>
    <w:rsid w:val="007822FB"/>
    <w:rsid w:val="00782DE6"/>
    <w:rsid w:val="00784253"/>
    <w:rsid w:val="0078572A"/>
    <w:rsid w:val="007860DB"/>
    <w:rsid w:val="0078791B"/>
    <w:rsid w:val="0078795C"/>
    <w:rsid w:val="0079157C"/>
    <w:rsid w:val="00791F2B"/>
    <w:rsid w:val="0079396B"/>
    <w:rsid w:val="00794F13"/>
    <w:rsid w:val="007A192D"/>
    <w:rsid w:val="007A2FEC"/>
    <w:rsid w:val="007A34AB"/>
    <w:rsid w:val="007A374D"/>
    <w:rsid w:val="007A46A2"/>
    <w:rsid w:val="007A5692"/>
    <w:rsid w:val="007A63BE"/>
    <w:rsid w:val="007A650F"/>
    <w:rsid w:val="007A6871"/>
    <w:rsid w:val="007B18CC"/>
    <w:rsid w:val="007B1D02"/>
    <w:rsid w:val="007B2F23"/>
    <w:rsid w:val="007B336A"/>
    <w:rsid w:val="007B5ED3"/>
    <w:rsid w:val="007C00F0"/>
    <w:rsid w:val="007C05B7"/>
    <w:rsid w:val="007C3204"/>
    <w:rsid w:val="007C37E5"/>
    <w:rsid w:val="007C66D1"/>
    <w:rsid w:val="007C7141"/>
    <w:rsid w:val="007D0BB5"/>
    <w:rsid w:val="007D2030"/>
    <w:rsid w:val="007D3513"/>
    <w:rsid w:val="007D485B"/>
    <w:rsid w:val="007D67B1"/>
    <w:rsid w:val="007D6DBB"/>
    <w:rsid w:val="007E052B"/>
    <w:rsid w:val="007E4A26"/>
    <w:rsid w:val="007E51B0"/>
    <w:rsid w:val="007E763F"/>
    <w:rsid w:val="007F0B4A"/>
    <w:rsid w:val="007F5DBD"/>
    <w:rsid w:val="008011AD"/>
    <w:rsid w:val="0080147B"/>
    <w:rsid w:val="00810DDC"/>
    <w:rsid w:val="008119AA"/>
    <w:rsid w:val="00811EFF"/>
    <w:rsid w:val="00820AB4"/>
    <w:rsid w:val="00820CF3"/>
    <w:rsid w:val="008220B7"/>
    <w:rsid w:val="00823F44"/>
    <w:rsid w:val="008240F2"/>
    <w:rsid w:val="00824A7E"/>
    <w:rsid w:val="0082535A"/>
    <w:rsid w:val="008269B1"/>
    <w:rsid w:val="00827667"/>
    <w:rsid w:val="00830ED1"/>
    <w:rsid w:val="00830EF6"/>
    <w:rsid w:val="00833826"/>
    <w:rsid w:val="00834D03"/>
    <w:rsid w:val="00835DAF"/>
    <w:rsid w:val="00835EAF"/>
    <w:rsid w:val="00837C6A"/>
    <w:rsid w:val="008444E2"/>
    <w:rsid w:val="008456DC"/>
    <w:rsid w:val="00850DDD"/>
    <w:rsid w:val="00852F0F"/>
    <w:rsid w:val="0085450F"/>
    <w:rsid w:val="00854832"/>
    <w:rsid w:val="00855FEB"/>
    <w:rsid w:val="00860736"/>
    <w:rsid w:val="00861B97"/>
    <w:rsid w:val="00863AA4"/>
    <w:rsid w:val="00863C27"/>
    <w:rsid w:val="00870C25"/>
    <w:rsid w:val="00871A13"/>
    <w:rsid w:val="0087248E"/>
    <w:rsid w:val="00872E7A"/>
    <w:rsid w:val="008731AF"/>
    <w:rsid w:val="00883D90"/>
    <w:rsid w:val="0089106D"/>
    <w:rsid w:val="008922E8"/>
    <w:rsid w:val="00896BE3"/>
    <w:rsid w:val="008973FD"/>
    <w:rsid w:val="008977BB"/>
    <w:rsid w:val="008A0A8B"/>
    <w:rsid w:val="008A1B07"/>
    <w:rsid w:val="008A6F7D"/>
    <w:rsid w:val="008B1176"/>
    <w:rsid w:val="008B15EF"/>
    <w:rsid w:val="008B29CA"/>
    <w:rsid w:val="008B36A3"/>
    <w:rsid w:val="008B476E"/>
    <w:rsid w:val="008B5EFA"/>
    <w:rsid w:val="008B6E17"/>
    <w:rsid w:val="008B775B"/>
    <w:rsid w:val="008B79FE"/>
    <w:rsid w:val="008B7F70"/>
    <w:rsid w:val="008C03A6"/>
    <w:rsid w:val="008C0E8F"/>
    <w:rsid w:val="008C1479"/>
    <w:rsid w:val="008C318A"/>
    <w:rsid w:val="008C55E2"/>
    <w:rsid w:val="008C60D7"/>
    <w:rsid w:val="008C773F"/>
    <w:rsid w:val="008C7ECA"/>
    <w:rsid w:val="008D02C5"/>
    <w:rsid w:val="008D158B"/>
    <w:rsid w:val="008D2E0E"/>
    <w:rsid w:val="008D4AB5"/>
    <w:rsid w:val="008D58D7"/>
    <w:rsid w:val="008E1940"/>
    <w:rsid w:val="008E28AE"/>
    <w:rsid w:val="008E31D0"/>
    <w:rsid w:val="008E3E0E"/>
    <w:rsid w:val="008E4AEE"/>
    <w:rsid w:val="008E60E9"/>
    <w:rsid w:val="008E66B9"/>
    <w:rsid w:val="008F1475"/>
    <w:rsid w:val="008F19A2"/>
    <w:rsid w:val="008F696D"/>
    <w:rsid w:val="008F6DDA"/>
    <w:rsid w:val="009025C0"/>
    <w:rsid w:val="009038CA"/>
    <w:rsid w:val="00903964"/>
    <w:rsid w:val="00903E4C"/>
    <w:rsid w:val="0090502A"/>
    <w:rsid w:val="009129C4"/>
    <w:rsid w:val="0091334B"/>
    <w:rsid w:val="0092056B"/>
    <w:rsid w:val="00921CF7"/>
    <w:rsid w:val="00933219"/>
    <w:rsid w:val="0093528A"/>
    <w:rsid w:val="00936E0E"/>
    <w:rsid w:val="00936E3C"/>
    <w:rsid w:val="009418D7"/>
    <w:rsid w:val="00946628"/>
    <w:rsid w:val="00946689"/>
    <w:rsid w:val="00946DE5"/>
    <w:rsid w:val="00954371"/>
    <w:rsid w:val="00961287"/>
    <w:rsid w:val="00962DAE"/>
    <w:rsid w:val="00964108"/>
    <w:rsid w:val="00964E4D"/>
    <w:rsid w:val="00965461"/>
    <w:rsid w:val="00967889"/>
    <w:rsid w:val="00967B0B"/>
    <w:rsid w:val="009708FA"/>
    <w:rsid w:val="00970D4B"/>
    <w:rsid w:val="00971B4B"/>
    <w:rsid w:val="00971EEB"/>
    <w:rsid w:val="00972ED7"/>
    <w:rsid w:val="009730A5"/>
    <w:rsid w:val="009742E4"/>
    <w:rsid w:val="009742EF"/>
    <w:rsid w:val="00976543"/>
    <w:rsid w:val="009819E9"/>
    <w:rsid w:val="00982865"/>
    <w:rsid w:val="00982A37"/>
    <w:rsid w:val="0098364D"/>
    <w:rsid w:val="00984BE0"/>
    <w:rsid w:val="00985982"/>
    <w:rsid w:val="00986170"/>
    <w:rsid w:val="00986BCF"/>
    <w:rsid w:val="00986BDD"/>
    <w:rsid w:val="00987C62"/>
    <w:rsid w:val="009911DA"/>
    <w:rsid w:val="00993BAD"/>
    <w:rsid w:val="00994CAD"/>
    <w:rsid w:val="009A2A8B"/>
    <w:rsid w:val="009A5FCB"/>
    <w:rsid w:val="009A622B"/>
    <w:rsid w:val="009A6300"/>
    <w:rsid w:val="009A68A2"/>
    <w:rsid w:val="009A6C05"/>
    <w:rsid w:val="009A750D"/>
    <w:rsid w:val="009A77FD"/>
    <w:rsid w:val="009B22DC"/>
    <w:rsid w:val="009B2A16"/>
    <w:rsid w:val="009B6665"/>
    <w:rsid w:val="009B6F14"/>
    <w:rsid w:val="009B7270"/>
    <w:rsid w:val="009C14C0"/>
    <w:rsid w:val="009C2728"/>
    <w:rsid w:val="009C62A3"/>
    <w:rsid w:val="009C7B7C"/>
    <w:rsid w:val="009D0FC6"/>
    <w:rsid w:val="009D3746"/>
    <w:rsid w:val="009D43F5"/>
    <w:rsid w:val="009D77FC"/>
    <w:rsid w:val="009E1164"/>
    <w:rsid w:val="009E17C8"/>
    <w:rsid w:val="009E6C1F"/>
    <w:rsid w:val="009F0936"/>
    <w:rsid w:val="009F3C82"/>
    <w:rsid w:val="00A026E2"/>
    <w:rsid w:val="00A0364F"/>
    <w:rsid w:val="00A05393"/>
    <w:rsid w:val="00A053E9"/>
    <w:rsid w:val="00A05FC3"/>
    <w:rsid w:val="00A117BC"/>
    <w:rsid w:val="00A12D61"/>
    <w:rsid w:val="00A14350"/>
    <w:rsid w:val="00A17974"/>
    <w:rsid w:val="00A17989"/>
    <w:rsid w:val="00A20547"/>
    <w:rsid w:val="00A21845"/>
    <w:rsid w:val="00A21DF2"/>
    <w:rsid w:val="00A22644"/>
    <w:rsid w:val="00A23335"/>
    <w:rsid w:val="00A24C91"/>
    <w:rsid w:val="00A25D1D"/>
    <w:rsid w:val="00A264C3"/>
    <w:rsid w:val="00A26E45"/>
    <w:rsid w:val="00A27937"/>
    <w:rsid w:val="00A3249F"/>
    <w:rsid w:val="00A32DAB"/>
    <w:rsid w:val="00A34261"/>
    <w:rsid w:val="00A359F4"/>
    <w:rsid w:val="00A36D02"/>
    <w:rsid w:val="00A37FEF"/>
    <w:rsid w:val="00A401F5"/>
    <w:rsid w:val="00A41CF5"/>
    <w:rsid w:val="00A42822"/>
    <w:rsid w:val="00A43813"/>
    <w:rsid w:val="00A4708F"/>
    <w:rsid w:val="00A5045F"/>
    <w:rsid w:val="00A51E9C"/>
    <w:rsid w:val="00A52528"/>
    <w:rsid w:val="00A60F8C"/>
    <w:rsid w:val="00A6174E"/>
    <w:rsid w:val="00A629D5"/>
    <w:rsid w:val="00A6513E"/>
    <w:rsid w:val="00A65888"/>
    <w:rsid w:val="00A65BC7"/>
    <w:rsid w:val="00A67BBE"/>
    <w:rsid w:val="00A726BC"/>
    <w:rsid w:val="00A850C7"/>
    <w:rsid w:val="00A86037"/>
    <w:rsid w:val="00A879C1"/>
    <w:rsid w:val="00A906E3"/>
    <w:rsid w:val="00A92043"/>
    <w:rsid w:val="00A9416E"/>
    <w:rsid w:val="00A95AE3"/>
    <w:rsid w:val="00AA0D21"/>
    <w:rsid w:val="00AA1792"/>
    <w:rsid w:val="00AA28E4"/>
    <w:rsid w:val="00AA2C71"/>
    <w:rsid w:val="00AA3F96"/>
    <w:rsid w:val="00AA45F6"/>
    <w:rsid w:val="00AA5E36"/>
    <w:rsid w:val="00AA7C78"/>
    <w:rsid w:val="00AB124C"/>
    <w:rsid w:val="00AB1F68"/>
    <w:rsid w:val="00AB410F"/>
    <w:rsid w:val="00AB73CC"/>
    <w:rsid w:val="00AB753C"/>
    <w:rsid w:val="00AC03A7"/>
    <w:rsid w:val="00AC0DF5"/>
    <w:rsid w:val="00AC1911"/>
    <w:rsid w:val="00AC26A7"/>
    <w:rsid w:val="00AC76ED"/>
    <w:rsid w:val="00AC7937"/>
    <w:rsid w:val="00AC7EA7"/>
    <w:rsid w:val="00AD5308"/>
    <w:rsid w:val="00AD582F"/>
    <w:rsid w:val="00AD62A7"/>
    <w:rsid w:val="00AD6CB3"/>
    <w:rsid w:val="00AD6D29"/>
    <w:rsid w:val="00AD6DA1"/>
    <w:rsid w:val="00AD7C39"/>
    <w:rsid w:val="00AE0684"/>
    <w:rsid w:val="00AE4512"/>
    <w:rsid w:val="00AE5936"/>
    <w:rsid w:val="00AE6581"/>
    <w:rsid w:val="00AE6755"/>
    <w:rsid w:val="00AF0561"/>
    <w:rsid w:val="00AF0B80"/>
    <w:rsid w:val="00AF0F1E"/>
    <w:rsid w:val="00AF2065"/>
    <w:rsid w:val="00AF5BAB"/>
    <w:rsid w:val="00AF63D4"/>
    <w:rsid w:val="00AF7658"/>
    <w:rsid w:val="00AF7B13"/>
    <w:rsid w:val="00B00580"/>
    <w:rsid w:val="00B01149"/>
    <w:rsid w:val="00B03280"/>
    <w:rsid w:val="00B04428"/>
    <w:rsid w:val="00B04729"/>
    <w:rsid w:val="00B05273"/>
    <w:rsid w:val="00B0791F"/>
    <w:rsid w:val="00B07C75"/>
    <w:rsid w:val="00B07C8C"/>
    <w:rsid w:val="00B1320E"/>
    <w:rsid w:val="00B1360E"/>
    <w:rsid w:val="00B17429"/>
    <w:rsid w:val="00B1784B"/>
    <w:rsid w:val="00B21A26"/>
    <w:rsid w:val="00B259D5"/>
    <w:rsid w:val="00B25E50"/>
    <w:rsid w:val="00B27669"/>
    <w:rsid w:val="00B27939"/>
    <w:rsid w:val="00B30B72"/>
    <w:rsid w:val="00B36FC7"/>
    <w:rsid w:val="00B41C23"/>
    <w:rsid w:val="00B46E61"/>
    <w:rsid w:val="00B47675"/>
    <w:rsid w:val="00B51748"/>
    <w:rsid w:val="00B53675"/>
    <w:rsid w:val="00B54088"/>
    <w:rsid w:val="00B57A3D"/>
    <w:rsid w:val="00B57F36"/>
    <w:rsid w:val="00B57FA1"/>
    <w:rsid w:val="00B60181"/>
    <w:rsid w:val="00B6140F"/>
    <w:rsid w:val="00B63BD5"/>
    <w:rsid w:val="00B64D24"/>
    <w:rsid w:val="00B657DB"/>
    <w:rsid w:val="00B675CD"/>
    <w:rsid w:val="00B67A1B"/>
    <w:rsid w:val="00B72010"/>
    <w:rsid w:val="00B73720"/>
    <w:rsid w:val="00B76454"/>
    <w:rsid w:val="00B76FC7"/>
    <w:rsid w:val="00B77051"/>
    <w:rsid w:val="00B77236"/>
    <w:rsid w:val="00B7738F"/>
    <w:rsid w:val="00B8058E"/>
    <w:rsid w:val="00B80742"/>
    <w:rsid w:val="00B830D7"/>
    <w:rsid w:val="00B93A51"/>
    <w:rsid w:val="00B94037"/>
    <w:rsid w:val="00B94755"/>
    <w:rsid w:val="00B96E40"/>
    <w:rsid w:val="00BA7504"/>
    <w:rsid w:val="00BA7D99"/>
    <w:rsid w:val="00BB43D4"/>
    <w:rsid w:val="00BB664D"/>
    <w:rsid w:val="00BB6F27"/>
    <w:rsid w:val="00BB7D22"/>
    <w:rsid w:val="00BC030D"/>
    <w:rsid w:val="00BC04B4"/>
    <w:rsid w:val="00BC7B38"/>
    <w:rsid w:val="00BD062A"/>
    <w:rsid w:val="00BD1065"/>
    <w:rsid w:val="00BD1E16"/>
    <w:rsid w:val="00BD2ABA"/>
    <w:rsid w:val="00BD4A2A"/>
    <w:rsid w:val="00BD55CB"/>
    <w:rsid w:val="00BE3A28"/>
    <w:rsid w:val="00BE70D4"/>
    <w:rsid w:val="00BE7376"/>
    <w:rsid w:val="00BF0B96"/>
    <w:rsid w:val="00BF2BE8"/>
    <w:rsid w:val="00BF3510"/>
    <w:rsid w:val="00BF3B84"/>
    <w:rsid w:val="00BF545F"/>
    <w:rsid w:val="00BF6737"/>
    <w:rsid w:val="00C0270E"/>
    <w:rsid w:val="00C02A31"/>
    <w:rsid w:val="00C0348D"/>
    <w:rsid w:val="00C05ACD"/>
    <w:rsid w:val="00C0791D"/>
    <w:rsid w:val="00C118CC"/>
    <w:rsid w:val="00C11A49"/>
    <w:rsid w:val="00C1276C"/>
    <w:rsid w:val="00C13BCD"/>
    <w:rsid w:val="00C15342"/>
    <w:rsid w:val="00C1576F"/>
    <w:rsid w:val="00C15B63"/>
    <w:rsid w:val="00C17627"/>
    <w:rsid w:val="00C2198B"/>
    <w:rsid w:val="00C23A7D"/>
    <w:rsid w:val="00C25B41"/>
    <w:rsid w:val="00C26EA3"/>
    <w:rsid w:val="00C27CD7"/>
    <w:rsid w:val="00C3004B"/>
    <w:rsid w:val="00C32485"/>
    <w:rsid w:val="00C332BA"/>
    <w:rsid w:val="00C35356"/>
    <w:rsid w:val="00C4096E"/>
    <w:rsid w:val="00C41099"/>
    <w:rsid w:val="00C42D46"/>
    <w:rsid w:val="00C4432D"/>
    <w:rsid w:val="00C468D4"/>
    <w:rsid w:val="00C46F87"/>
    <w:rsid w:val="00C47593"/>
    <w:rsid w:val="00C5085F"/>
    <w:rsid w:val="00C51CA5"/>
    <w:rsid w:val="00C53890"/>
    <w:rsid w:val="00C54A05"/>
    <w:rsid w:val="00C57EFD"/>
    <w:rsid w:val="00C61A6B"/>
    <w:rsid w:val="00C63C0F"/>
    <w:rsid w:val="00C654F5"/>
    <w:rsid w:val="00C6590F"/>
    <w:rsid w:val="00C671EC"/>
    <w:rsid w:val="00C67E93"/>
    <w:rsid w:val="00C70351"/>
    <w:rsid w:val="00C72AB1"/>
    <w:rsid w:val="00C74640"/>
    <w:rsid w:val="00C7600C"/>
    <w:rsid w:val="00C77CD7"/>
    <w:rsid w:val="00C83871"/>
    <w:rsid w:val="00C83A31"/>
    <w:rsid w:val="00C840EB"/>
    <w:rsid w:val="00C85938"/>
    <w:rsid w:val="00C90BE7"/>
    <w:rsid w:val="00C92BFA"/>
    <w:rsid w:val="00C9463E"/>
    <w:rsid w:val="00C961FC"/>
    <w:rsid w:val="00C96A8E"/>
    <w:rsid w:val="00CA1313"/>
    <w:rsid w:val="00CA151D"/>
    <w:rsid w:val="00CA1F8A"/>
    <w:rsid w:val="00CA2F0B"/>
    <w:rsid w:val="00CB1133"/>
    <w:rsid w:val="00CB17AA"/>
    <w:rsid w:val="00CB1817"/>
    <w:rsid w:val="00CB2AD6"/>
    <w:rsid w:val="00CB4193"/>
    <w:rsid w:val="00CB4345"/>
    <w:rsid w:val="00CB5822"/>
    <w:rsid w:val="00CB6E64"/>
    <w:rsid w:val="00CB7EE7"/>
    <w:rsid w:val="00CC3E20"/>
    <w:rsid w:val="00CC4B10"/>
    <w:rsid w:val="00CC630B"/>
    <w:rsid w:val="00CC68A1"/>
    <w:rsid w:val="00CD02CA"/>
    <w:rsid w:val="00CD2D43"/>
    <w:rsid w:val="00CD591E"/>
    <w:rsid w:val="00CD62B6"/>
    <w:rsid w:val="00CD78EF"/>
    <w:rsid w:val="00CE0CF0"/>
    <w:rsid w:val="00CE2BC5"/>
    <w:rsid w:val="00CE56F4"/>
    <w:rsid w:val="00CE5CD9"/>
    <w:rsid w:val="00CE6AB0"/>
    <w:rsid w:val="00CF12A2"/>
    <w:rsid w:val="00CF5587"/>
    <w:rsid w:val="00D01CFF"/>
    <w:rsid w:val="00D0360D"/>
    <w:rsid w:val="00D06220"/>
    <w:rsid w:val="00D06BAD"/>
    <w:rsid w:val="00D07209"/>
    <w:rsid w:val="00D1150A"/>
    <w:rsid w:val="00D12657"/>
    <w:rsid w:val="00D15510"/>
    <w:rsid w:val="00D15DD3"/>
    <w:rsid w:val="00D17048"/>
    <w:rsid w:val="00D1723A"/>
    <w:rsid w:val="00D20B89"/>
    <w:rsid w:val="00D21045"/>
    <w:rsid w:val="00D22E1E"/>
    <w:rsid w:val="00D23695"/>
    <w:rsid w:val="00D26458"/>
    <w:rsid w:val="00D26853"/>
    <w:rsid w:val="00D27AD4"/>
    <w:rsid w:val="00D27C41"/>
    <w:rsid w:val="00D30617"/>
    <w:rsid w:val="00D3146B"/>
    <w:rsid w:val="00D33869"/>
    <w:rsid w:val="00D33BE6"/>
    <w:rsid w:val="00D37E9A"/>
    <w:rsid w:val="00D4162E"/>
    <w:rsid w:val="00D41829"/>
    <w:rsid w:val="00D41ABA"/>
    <w:rsid w:val="00D454D4"/>
    <w:rsid w:val="00D50D93"/>
    <w:rsid w:val="00D51F65"/>
    <w:rsid w:val="00D574A2"/>
    <w:rsid w:val="00D64F79"/>
    <w:rsid w:val="00D65508"/>
    <w:rsid w:val="00D65DCC"/>
    <w:rsid w:val="00D716AA"/>
    <w:rsid w:val="00D7277C"/>
    <w:rsid w:val="00D74AB7"/>
    <w:rsid w:val="00D7560B"/>
    <w:rsid w:val="00D764B6"/>
    <w:rsid w:val="00D8049F"/>
    <w:rsid w:val="00D80C2F"/>
    <w:rsid w:val="00D82E9C"/>
    <w:rsid w:val="00D83A27"/>
    <w:rsid w:val="00D86B73"/>
    <w:rsid w:val="00D8792A"/>
    <w:rsid w:val="00D91A72"/>
    <w:rsid w:val="00D95057"/>
    <w:rsid w:val="00D9529E"/>
    <w:rsid w:val="00D95A65"/>
    <w:rsid w:val="00D962CB"/>
    <w:rsid w:val="00D96C12"/>
    <w:rsid w:val="00DA0687"/>
    <w:rsid w:val="00DA13AC"/>
    <w:rsid w:val="00DA20EA"/>
    <w:rsid w:val="00DA4BD2"/>
    <w:rsid w:val="00DA690B"/>
    <w:rsid w:val="00DB0BBD"/>
    <w:rsid w:val="00DB2865"/>
    <w:rsid w:val="00DB30DF"/>
    <w:rsid w:val="00DB448D"/>
    <w:rsid w:val="00DB5D40"/>
    <w:rsid w:val="00DC142F"/>
    <w:rsid w:val="00DC7CAB"/>
    <w:rsid w:val="00DD4EF3"/>
    <w:rsid w:val="00DD6DBB"/>
    <w:rsid w:val="00DE4D0E"/>
    <w:rsid w:val="00DF0344"/>
    <w:rsid w:val="00DF058C"/>
    <w:rsid w:val="00DF2EC2"/>
    <w:rsid w:val="00DF5104"/>
    <w:rsid w:val="00DF60E6"/>
    <w:rsid w:val="00E0203B"/>
    <w:rsid w:val="00E0292F"/>
    <w:rsid w:val="00E03B00"/>
    <w:rsid w:val="00E0563E"/>
    <w:rsid w:val="00E057A2"/>
    <w:rsid w:val="00E1143A"/>
    <w:rsid w:val="00E123DB"/>
    <w:rsid w:val="00E12705"/>
    <w:rsid w:val="00E14F24"/>
    <w:rsid w:val="00E16014"/>
    <w:rsid w:val="00E16E5F"/>
    <w:rsid w:val="00E17BCD"/>
    <w:rsid w:val="00E204B7"/>
    <w:rsid w:val="00E23CA4"/>
    <w:rsid w:val="00E24A2B"/>
    <w:rsid w:val="00E24ED8"/>
    <w:rsid w:val="00E25C33"/>
    <w:rsid w:val="00E26F23"/>
    <w:rsid w:val="00E30DD6"/>
    <w:rsid w:val="00E3127C"/>
    <w:rsid w:val="00E320C4"/>
    <w:rsid w:val="00E32894"/>
    <w:rsid w:val="00E34AD3"/>
    <w:rsid w:val="00E36720"/>
    <w:rsid w:val="00E3755C"/>
    <w:rsid w:val="00E4466E"/>
    <w:rsid w:val="00E45F15"/>
    <w:rsid w:val="00E45FE6"/>
    <w:rsid w:val="00E46D17"/>
    <w:rsid w:val="00E479CD"/>
    <w:rsid w:val="00E5197D"/>
    <w:rsid w:val="00E52CC9"/>
    <w:rsid w:val="00E543A0"/>
    <w:rsid w:val="00E552D5"/>
    <w:rsid w:val="00E60235"/>
    <w:rsid w:val="00E62C80"/>
    <w:rsid w:val="00E66B31"/>
    <w:rsid w:val="00E714DC"/>
    <w:rsid w:val="00E72D1C"/>
    <w:rsid w:val="00E84650"/>
    <w:rsid w:val="00E8576D"/>
    <w:rsid w:val="00E90801"/>
    <w:rsid w:val="00E92B6E"/>
    <w:rsid w:val="00E92C74"/>
    <w:rsid w:val="00E95149"/>
    <w:rsid w:val="00EA4A4A"/>
    <w:rsid w:val="00EA62EF"/>
    <w:rsid w:val="00EA6EC5"/>
    <w:rsid w:val="00EB0491"/>
    <w:rsid w:val="00EB1F75"/>
    <w:rsid w:val="00EB2CFC"/>
    <w:rsid w:val="00EB3E0C"/>
    <w:rsid w:val="00EB6E40"/>
    <w:rsid w:val="00EB74C1"/>
    <w:rsid w:val="00EC11F9"/>
    <w:rsid w:val="00EC35B4"/>
    <w:rsid w:val="00EC368B"/>
    <w:rsid w:val="00EC4863"/>
    <w:rsid w:val="00EC611E"/>
    <w:rsid w:val="00EC6B17"/>
    <w:rsid w:val="00EC6C12"/>
    <w:rsid w:val="00EC7D60"/>
    <w:rsid w:val="00ED03EE"/>
    <w:rsid w:val="00ED291D"/>
    <w:rsid w:val="00EE08B9"/>
    <w:rsid w:val="00EE5E59"/>
    <w:rsid w:val="00EE67C3"/>
    <w:rsid w:val="00EF1738"/>
    <w:rsid w:val="00EF2A19"/>
    <w:rsid w:val="00EF4D35"/>
    <w:rsid w:val="00EF7968"/>
    <w:rsid w:val="00F00F70"/>
    <w:rsid w:val="00F03A80"/>
    <w:rsid w:val="00F12F1A"/>
    <w:rsid w:val="00F14767"/>
    <w:rsid w:val="00F14A39"/>
    <w:rsid w:val="00F14F08"/>
    <w:rsid w:val="00F15173"/>
    <w:rsid w:val="00F1631E"/>
    <w:rsid w:val="00F23947"/>
    <w:rsid w:val="00F23CBD"/>
    <w:rsid w:val="00F26E7E"/>
    <w:rsid w:val="00F30DD9"/>
    <w:rsid w:val="00F36C6D"/>
    <w:rsid w:val="00F4121E"/>
    <w:rsid w:val="00F41952"/>
    <w:rsid w:val="00F437F7"/>
    <w:rsid w:val="00F4476C"/>
    <w:rsid w:val="00F467D9"/>
    <w:rsid w:val="00F5064A"/>
    <w:rsid w:val="00F55AF7"/>
    <w:rsid w:val="00F57DF4"/>
    <w:rsid w:val="00F625F1"/>
    <w:rsid w:val="00F64B8F"/>
    <w:rsid w:val="00F64F12"/>
    <w:rsid w:val="00F6674D"/>
    <w:rsid w:val="00F6768B"/>
    <w:rsid w:val="00F72EEA"/>
    <w:rsid w:val="00F73F01"/>
    <w:rsid w:val="00F73F46"/>
    <w:rsid w:val="00F80F14"/>
    <w:rsid w:val="00F811FC"/>
    <w:rsid w:val="00F83760"/>
    <w:rsid w:val="00F83BA7"/>
    <w:rsid w:val="00F84BEE"/>
    <w:rsid w:val="00F87987"/>
    <w:rsid w:val="00F9142C"/>
    <w:rsid w:val="00F91C28"/>
    <w:rsid w:val="00F9560D"/>
    <w:rsid w:val="00FA0343"/>
    <w:rsid w:val="00FB148C"/>
    <w:rsid w:val="00FB3BD1"/>
    <w:rsid w:val="00FB7E8D"/>
    <w:rsid w:val="00FC3C9F"/>
    <w:rsid w:val="00FC492B"/>
    <w:rsid w:val="00FC74A6"/>
    <w:rsid w:val="00FD0BBC"/>
    <w:rsid w:val="00FD2DE9"/>
    <w:rsid w:val="00FD57F8"/>
    <w:rsid w:val="00FD6DA4"/>
    <w:rsid w:val="00FE0C22"/>
    <w:rsid w:val="00FE155A"/>
    <w:rsid w:val="00FE183E"/>
    <w:rsid w:val="00FF13C6"/>
    <w:rsid w:val="00FF20B9"/>
    <w:rsid w:val="00FF30B2"/>
    <w:rsid w:val="00FF3740"/>
    <w:rsid w:val="00FF39D0"/>
    <w:rsid w:val="00FF513E"/>
    <w:rsid w:val="00FF5976"/>
    <w:rsid w:val="00FF5FDA"/>
    <w:rsid w:val="02E4F995"/>
    <w:rsid w:val="03511F63"/>
    <w:rsid w:val="04ECEFC4"/>
    <w:rsid w:val="063B1262"/>
    <w:rsid w:val="06EDEAD5"/>
    <w:rsid w:val="0A003601"/>
    <w:rsid w:val="0B9CB61A"/>
    <w:rsid w:val="0BBE7E79"/>
    <w:rsid w:val="0EAE3F76"/>
    <w:rsid w:val="0FA85E83"/>
    <w:rsid w:val="0FD3475E"/>
    <w:rsid w:val="1239DC84"/>
    <w:rsid w:val="12D437E7"/>
    <w:rsid w:val="13A90582"/>
    <w:rsid w:val="144CDC81"/>
    <w:rsid w:val="1455E19A"/>
    <w:rsid w:val="14733163"/>
    <w:rsid w:val="14B20DAD"/>
    <w:rsid w:val="14ED8715"/>
    <w:rsid w:val="14FD358D"/>
    <w:rsid w:val="15001AC8"/>
    <w:rsid w:val="152165EF"/>
    <w:rsid w:val="18EED799"/>
    <w:rsid w:val="1953BA10"/>
    <w:rsid w:val="1A87EE2C"/>
    <w:rsid w:val="1B18A411"/>
    <w:rsid w:val="1C3EAAF3"/>
    <w:rsid w:val="1CB3F5FD"/>
    <w:rsid w:val="1F548D89"/>
    <w:rsid w:val="2229C14F"/>
    <w:rsid w:val="2310D599"/>
    <w:rsid w:val="24A7E1DA"/>
    <w:rsid w:val="25CE4EE6"/>
    <w:rsid w:val="27DA4895"/>
    <w:rsid w:val="2A53D47A"/>
    <w:rsid w:val="2AFE30D2"/>
    <w:rsid w:val="2C018E58"/>
    <w:rsid w:val="2C2E50A3"/>
    <w:rsid w:val="2C6675F5"/>
    <w:rsid w:val="2CE4236B"/>
    <w:rsid w:val="2D872B41"/>
    <w:rsid w:val="2DFAE4BF"/>
    <w:rsid w:val="2E1DE96A"/>
    <w:rsid w:val="2ECCE8B7"/>
    <w:rsid w:val="2F45DF44"/>
    <w:rsid w:val="3348030E"/>
    <w:rsid w:val="33E472E2"/>
    <w:rsid w:val="33FE4571"/>
    <w:rsid w:val="349343B4"/>
    <w:rsid w:val="37C6DB01"/>
    <w:rsid w:val="396E2CA0"/>
    <w:rsid w:val="398023B9"/>
    <w:rsid w:val="39C873E3"/>
    <w:rsid w:val="3A53ABCE"/>
    <w:rsid w:val="3AA4303F"/>
    <w:rsid w:val="3B0A6A8F"/>
    <w:rsid w:val="3EAD3864"/>
    <w:rsid w:val="3EF2601D"/>
    <w:rsid w:val="40EDBFC5"/>
    <w:rsid w:val="411B8EEC"/>
    <w:rsid w:val="41714F65"/>
    <w:rsid w:val="439ABD77"/>
    <w:rsid w:val="486003D8"/>
    <w:rsid w:val="4950266F"/>
    <w:rsid w:val="49FD920B"/>
    <w:rsid w:val="4B6000B4"/>
    <w:rsid w:val="4B68604B"/>
    <w:rsid w:val="4BBBA949"/>
    <w:rsid w:val="4D5C47A6"/>
    <w:rsid w:val="4D86099A"/>
    <w:rsid w:val="4E3EC5CF"/>
    <w:rsid w:val="4E43B74D"/>
    <w:rsid w:val="4EDEAC57"/>
    <w:rsid w:val="4EE1F1D3"/>
    <w:rsid w:val="52BD3170"/>
    <w:rsid w:val="538B4BF4"/>
    <w:rsid w:val="53D91519"/>
    <w:rsid w:val="547E02AA"/>
    <w:rsid w:val="551D8B58"/>
    <w:rsid w:val="590E6BD7"/>
    <w:rsid w:val="5A305C52"/>
    <w:rsid w:val="5B0C1E90"/>
    <w:rsid w:val="5B0D69FE"/>
    <w:rsid w:val="5B2BB46C"/>
    <w:rsid w:val="5CD83613"/>
    <w:rsid w:val="5CF9B359"/>
    <w:rsid w:val="5D330365"/>
    <w:rsid w:val="62406A65"/>
    <w:rsid w:val="636FF852"/>
    <w:rsid w:val="6611F936"/>
    <w:rsid w:val="66A0AA05"/>
    <w:rsid w:val="6822CEA7"/>
    <w:rsid w:val="69485AAC"/>
    <w:rsid w:val="698DDC7B"/>
    <w:rsid w:val="6991DF4E"/>
    <w:rsid w:val="6E8992C3"/>
    <w:rsid w:val="6F9ED7FE"/>
    <w:rsid w:val="7115AB02"/>
    <w:rsid w:val="71E63EBC"/>
    <w:rsid w:val="72798864"/>
    <w:rsid w:val="737C6FAB"/>
    <w:rsid w:val="7466419B"/>
    <w:rsid w:val="75876828"/>
    <w:rsid w:val="75BD4491"/>
    <w:rsid w:val="762A450D"/>
    <w:rsid w:val="79031C01"/>
    <w:rsid w:val="7D13317E"/>
    <w:rsid w:val="7D3210BC"/>
    <w:rsid w:val="7EB78B9D"/>
    <w:rsid w:val="7FDC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81AB2"/>
  <w15:chartTrackingRefBased/>
  <w15:docId w15:val="{E600731B-90BE-4942-BE8F-CF75690B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val="sk-SK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/>
      <w:outlineLvl w:val="1"/>
    </w:pPr>
    <w:rPr>
      <w:color w:val="000000"/>
      <w:szCs w:val="20"/>
      <w:lang w:val="sk-SK" w:eastAsia="en-US"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8"/>
      </w:numPr>
      <w:jc w:val="both"/>
      <w:outlineLvl w:val="2"/>
    </w:pPr>
    <w:rPr>
      <w:szCs w:val="20"/>
      <w:lang w:val="sk-SK" w:eastAsia="en-US"/>
    </w:rPr>
  </w:style>
  <w:style w:type="paragraph" w:styleId="Nadpis4">
    <w:name w:val="heading 4"/>
    <w:basedOn w:val="Normlny"/>
    <w:next w:val="Normlny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tabs>
        <w:tab w:val="left" w:pos="993"/>
      </w:tabs>
      <w:spacing w:before="120"/>
      <w:ind w:left="993"/>
      <w:jc w:val="both"/>
      <w:outlineLvl w:val="4"/>
    </w:pPr>
    <w:rPr>
      <w:lang w:val="sk-SK"/>
    </w:rPr>
  </w:style>
  <w:style w:type="paragraph" w:styleId="Nadpis6">
    <w:name w:val="heading 6"/>
    <w:basedOn w:val="Normlny"/>
    <w:next w:val="Normlny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Nadpis7">
    <w:name w:val="heading 7"/>
    <w:basedOn w:val="Normlny"/>
    <w:next w:val="Normlny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val="sk-SK" w:eastAsia="en-US"/>
    </w:rPr>
  </w:style>
  <w:style w:type="paragraph" w:styleId="Nadpis9">
    <w:name w:val="heading 9"/>
    <w:basedOn w:val="Normlny"/>
    <w:next w:val="Normlny"/>
    <w:qFormat/>
    <w:pPr>
      <w:spacing w:after="120"/>
      <w:jc w:val="both"/>
      <w:outlineLvl w:val="8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val="sk-SK" w:eastAsia="en-US"/>
    </w:rPr>
  </w:style>
  <w:style w:type="paragraph" w:styleId="Zarkazkladnhotextu">
    <w:name w:val="Body Text Indent"/>
    <w:basedOn w:val="Normlny"/>
    <w:link w:val="ZarkazkladnhotextuChar"/>
    <w:pPr>
      <w:spacing w:before="40"/>
      <w:ind w:left="2183" w:hanging="1191"/>
      <w:jc w:val="both"/>
    </w:pPr>
    <w:rPr>
      <w:szCs w:val="20"/>
      <w:lang w:val="sk-SK" w:eastAsia="en-US"/>
    </w:rPr>
  </w:style>
  <w:style w:type="paragraph" w:styleId="Zarkazkladnhotextu3">
    <w:name w:val="Body Text Indent 3"/>
    <w:basedOn w:val="Normlny"/>
    <w:link w:val="Zarkazkladnhotextu3Char"/>
    <w:pPr>
      <w:ind w:firstLine="720"/>
      <w:jc w:val="both"/>
    </w:pPr>
    <w:rPr>
      <w:rFonts w:ascii="Arial" w:hAnsi="Arial"/>
      <w:sz w:val="22"/>
      <w:szCs w:val="20"/>
      <w:lang w:val="sk-SK"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val="sk-SK" w:eastAsia="en-US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sz w:val="22"/>
      <w:szCs w:val="20"/>
      <w:lang w:val="sk-SK"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k-SK" w:eastAsia="en-US"/>
    </w:rPr>
  </w:style>
  <w:style w:type="paragraph" w:customStyle="1" w:styleId="weeklies">
    <w:name w:val="weeklies"/>
    <w:basedOn w:val="Normlny"/>
    <w:next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851" w:hanging="5"/>
    </w:pPr>
    <w:rPr>
      <w:color w:val="000000"/>
      <w:lang w:val="sk-SK"/>
    </w:rPr>
  </w:style>
  <w:style w:type="paragraph" w:customStyle="1" w:styleId="simple">
    <w:name w:val="simple"/>
    <w:basedOn w:val="Normlny"/>
    <w:rPr>
      <w:rFonts w:ascii="Arial" w:hAnsi="Arial"/>
      <w:sz w:val="20"/>
      <w:szCs w:val="20"/>
      <w:lang w:val="de-DE" w:eastAsia="en-US"/>
    </w:rPr>
  </w:style>
  <w:style w:type="character" w:styleId="Odkaznakomentr">
    <w:name w:val="annotation reference"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qFormat/>
    <w:rPr>
      <w:sz w:val="20"/>
      <w:szCs w:val="20"/>
    </w:rPr>
  </w:style>
  <w:style w:type="paragraph" w:customStyle="1" w:styleId="Smluvnstrana">
    <w:name w:val="Smluvní strana"/>
    <w:basedOn w:val="Normlny"/>
    <w:pPr>
      <w:spacing w:line="280" w:lineRule="atLeast"/>
      <w:jc w:val="both"/>
    </w:pPr>
    <w:rPr>
      <w:b/>
      <w:sz w:val="28"/>
      <w:szCs w:val="20"/>
    </w:rPr>
  </w:style>
  <w:style w:type="character" w:styleId="Hypertextovprepojenie">
    <w:name w:val="Hyperlink"/>
    <w:rPr>
      <w:color w:val="0000FF"/>
      <w:u w:val="single"/>
    </w:rPr>
  </w:style>
  <w:style w:type="paragraph" w:styleId="Pokraovaniezoznamu2">
    <w:name w:val="List Continue 2"/>
    <w:basedOn w:val="Normlny"/>
    <w:pPr>
      <w:spacing w:after="120"/>
      <w:ind w:left="1080"/>
      <w:jc w:val="both"/>
    </w:pPr>
    <w:rPr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Pr>
      <w:b/>
      <w:bCs/>
      <w:lang w:val="sk-SK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Nadpis2Char">
    <w:name w:val="Nadpis 2 Char"/>
    <w:link w:val="Nadpis2"/>
    <w:uiPriority w:val="9"/>
    <w:locked/>
    <w:rsid w:val="000F0424"/>
    <w:rPr>
      <w:color w:val="000000"/>
      <w:sz w:val="24"/>
      <w:lang w:val="sk-SK" w:eastAsia="en-US" w:bidi="ar-SA"/>
    </w:rPr>
  </w:style>
  <w:style w:type="character" w:customStyle="1" w:styleId="Zarkazkladnhotextu3Char">
    <w:name w:val="Zarážka základného textu 3 Char"/>
    <w:link w:val="Zarkazkladnhotextu3"/>
    <w:locked/>
    <w:rsid w:val="00571545"/>
    <w:rPr>
      <w:rFonts w:ascii="Arial" w:hAnsi="Arial"/>
      <w:sz w:val="22"/>
      <w:lang w:val="sk-SK" w:eastAsia="en-US" w:bidi="ar-SA"/>
    </w:rPr>
  </w:style>
  <w:style w:type="character" w:customStyle="1" w:styleId="PtaChar">
    <w:name w:val="Päta Char"/>
    <w:link w:val="Pta"/>
    <w:uiPriority w:val="99"/>
    <w:rsid w:val="00647129"/>
    <w:rPr>
      <w:lang w:eastAsia="en-US"/>
    </w:rPr>
  </w:style>
  <w:style w:type="paragraph" w:styleId="Odsekzoznamu">
    <w:name w:val="List Paragraph"/>
    <w:aliases w:val="body,Odsek zoznamu2,Odsek,ZOZNAM,Tabuľka,ODRAZKY PRVA UROVEN,List Paragraph1,Use Case List Paragraph,Bullet List,Odstavec cíl se seznamem,Odstavec se seznamem1,VS_Odsek,Odsek zoznamu Uroven 1,Bullets Level 1,bullet,Bullet Number,lp1,lp11"/>
    <w:basedOn w:val="Normlny"/>
    <w:link w:val="OdsekzoznamuChar"/>
    <w:uiPriority w:val="34"/>
    <w:qFormat/>
    <w:rsid w:val="002C6A9F"/>
    <w:pPr>
      <w:ind w:left="708"/>
    </w:pPr>
  </w:style>
  <w:style w:type="paragraph" w:customStyle="1" w:styleId="normlny0">
    <w:name w:val="normálny"/>
    <w:basedOn w:val="Normlny"/>
    <w:rsid w:val="0047038E"/>
    <w:pPr>
      <w:spacing w:before="60"/>
    </w:pPr>
    <w:rPr>
      <w:b/>
      <w:bCs/>
      <w:szCs w:val="20"/>
      <w:lang w:val="sk-SK" w:eastAsia="sk-SK"/>
    </w:rPr>
  </w:style>
  <w:style w:type="paragraph" w:styleId="Register1">
    <w:name w:val="index 1"/>
    <w:basedOn w:val="Normlny"/>
    <w:next w:val="Normlny"/>
    <w:autoRedefine/>
    <w:semiHidden/>
    <w:rsid w:val="0047038E"/>
    <w:pPr>
      <w:ind w:left="240" w:hanging="240"/>
    </w:pPr>
  </w:style>
  <w:style w:type="paragraph" w:styleId="Nadpisregistra">
    <w:name w:val="index heading"/>
    <w:basedOn w:val="Normlny"/>
    <w:next w:val="Register1"/>
    <w:semiHidden/>
    <w:rsid w:val="0047038E"/>
    <w:rPr>
      <w:szCs w:val="20"/>
    </w:rPr>
  </w:style>
  <w:style w:type="character" w:customStyle="1" w:styleId="CharChar21">
    <w:name w:val="Char Char21"/>
    <w:semiHidden/>
    <w:locked/>
    <w:rsid w:val="00131BA9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TableParagraph">
    <w:name w:val="Table Paragraph"/>
    <w:basedOn w:val="Normlny"/>
    <w:uiPriority w:val="1"/>
    <w:qFormat/>
    <w:rsid w:val="004E7519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sk-SK" w:eastAsia="en-US"/>
    </w:rPr>
  </w:style>
  <w:style w:type="character" w:customStyle="1" w:styleId="TextkomentraChar">
    <w:name w:val="Text komentára Char"/>
    <w:link w:val="Textkomentra"/>
    <w:rsid w:val="00964108"/>
    <w:rPr>
      <w:lang w:val="cs-CZ" w:eastAsia="cs-CZ"/>
    </w:rPr>
  </w:style>
  <w:style w:type="character" w:customStyle="1" w:styleId="OdsekzoznamuChar">
    <w:name w:val="Odsek zoznamu Char"/>
    <w:aliases w:val="body Char,Odsek zoznamu2 Char,Odsek Char,ZOZNAM Char,Tabuľka Char,ODRAZKY PRVA UROVEN Char,List Paragraph1 Char,Use Case List Paragraph Char,Bullet List Char,Odstavec cíl se seznamem Char,Odstavec se seznamem1 Char,VS_Odsek Char"/>
    <w:link w:val="Odsekzoznamu"/>
    <w:uiPriority w:val="34"/>
    <w:qFormat/>
    <w:locked/>
    <w:rsid w:val="00964108"/>
    <w:rPr>
      <w:sz w:val="24"/>
      <w:szCs w:val="24"/>
      <w:lang w:val="cs-CZ" w:eastAsia="cs-CZ"/>
    </w:rPr>
  </w:style>
  <w:style w:type="paragraph" w:customStyle="1" w:styleId="m1783081599882066092msobodytextindent">
    <w:name w:val="m_1783081599882066092msobodytextindent"/>
    <w:basedOn w:val="Normlny"/>
    <w:rsid w:val="00964108"/>
    <w:pPr>
      <w:spacing w:before="100" w:beforeAutospacing="1" w:after="100" w:afterAutospacing="1"/>
    </w:pPr>
    <w:rPr>
      <w:lang w:val="sk-SK" w:eastAsia="ja-JP"/>
    </w:rPr>
  </w:style>
  <w:style w:type="paragraph" w:styleId="Normlnywebov">
    <w:name w:val="Normal (Web)"/>
    <w:basedOn w:val="Normlny"/>
    <w:uiPriority w:val="99"/>
    <w:unhideWhenUsed/>
    <w:rsid w:val="00553F94"/>
    <w:pPr>
      <w:spacing w:before="100" w:beforeAutospacing="1" w:after="100" w:afterAutospacing="1"/>
      <w:jc w:val="both"/>
    </w:pPr>
    <w:rPr>
      <w:rFonts w:ascii="Calibri" w:hAnsi="Calibri"/>
      <w:sz w:val="22"/>
    </w:rPr>
  </w:style>
  <w:style w:type="character" w:styleId="Vrazn">
    <w:name w:val="Strong"/>
    <w:uiPriority w:val="22"/>
    <w:qFormat/>
    <w:rsid w:val="00553F94"/>
    <w:rPr>
      <w:b/>
      <w:bCs/>
    </w:rPr>
  </w:style>
  <w:style w:type="paragraph" w:customStyle="1" w:styleId="numbering">
    <w:name w:val="numbering"/>
    <w:basedOn w:val="Normlny"/>
    <w:link w:val="numberingChar"/>
    <w:qFormat/>
    <w:rsid w:val="00553F94"/>
    <w:pPr>
      <w:spacing w:after="40" w:line="259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numberingChar">
    <w:name w:val="numbering Char"/>
    <w:link w:val="numbering"/>
    <w:rsid w:val="00553F94"/>
    <w:rPr>
      <w:rFonts w:ascii="Calibri" w:eastAsia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link w:val="Zarkazkladnhotextu"/>
    <w:rsid w:val="00F03A80"/>
    <w:rPr>
      <w:sz w:val="24"/>
      <w:lang w:eastAsia="en-US"/>
    </w:rPr>
  </w:style>
  <w:style w:type="paragraph" w:styleId="Revzia">
    <w:name w:val="Revision"/>
    <w:hidden/>
    <w:uiPriority w:val="99"/>
    <w:semiHidden/>
    <w:rsid w:val="0073392E"/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6718D"/>
    <w:rPr>
      <w:rFonts w:ascii="Arial" w:hAnsi="Arial"/>
      <w:b/>
      <w:lang w:val="sk-SK" w:eastAsia="en-US"/>
    </w:rPr>
  </w:style>
  <w:style w:type="character" w:styleId="Zmienka">
    <w:name w:val="Mention"/>
    <w:basedOn w:val="Predvolenpsmoodseku"/>
    <w:uiPriority w:val="99"/>
    <w:unhideWhenUsed/>
    <w:rsid w:val="004C5902"/>
    <w:rPr>
      <w:color w:val="2B579A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2D3CCA"/>
    <w:rPr>
      <w:sz w:val="24"/>
      <w:lang w:val="sk-SK" w:eastAsia="en-US"/>
    </w:rPr>
  </w:style>
  <w:style w:type="table" w:customStyle="1" w:styleId="NBStl">
    <w:name w:val="NBS štýl"/>
    <w:basedOn w:val="Normlnatabuka"/>
    <w:uiPriority w:val="99"/>
    <w:rsid w:val="00FD57F8"/>
    <w:pPr>
      <w:jc w:val="both"/>
    </w:pPr>
    <w:rPr>
      <w:rFonts w:ascii="Cambria" w:eastAsia="Calibri" w:hAnsi="Cambria" w:cs="Calibri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Yu Mincho" w:hAnsi="Yu Mincho"/>
        <w:b/>
        <w:sz w:val="20"/>
      </w:rPr>
      <w:tblPr/>
      <w:tcPr>
        <w:shd w:val="clear" w:color="auto" w:fill="2B3A5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B54F30DA0D347A4473FE62875890E" ma:contentTypeVersion="3" ma:contentTypeDescription="Umožňuje vytvoriť nový dokument." ma:contentTypeScope="" ma:versionID="a4bdca745579f79982bfb93d2eb549aa">
  <xsd:schema xmlns:xsd="http://www.w3.org/2001/XMLSchema" xmlns:xs="http://www.w3.org/2001/XMLSchema" xmlns:p="http://schemas.microsoft.com/office/2006/metadata/properties" xmlns:ns2="589a55d0-83d4-4dcf-be1d-2d6a5bf48ba3" targetNamespace="http://schemas.microsoft.com/office/2006/metadata/properties" ma:root="true" ma:fieldsID="6d4efe829074418e955a727d992969a5" ns2:_="">
    <xsd:import namespace="589a55d0-83d4-4dcf-be1d-2d6a5bf48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55d0-83d4-4dcf-be1d-2d6a5bf4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71651-D4C4-415E-B70F-5B7B2041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a55d0-83d4-4dcf-be1d-2d6a5bf48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4386A-DCFF-433A-9155-3300A0563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54018-38D5-4BCF-8D11-5CD81580F97A}">
  <ds:schemaRefs>
    <ds:schemaRef ds:uri="http://schemas.microsoft.com/office/2006/documentManagement/types"/>
    <ds:schemaRef ds:uri="589a55d0-83d4-4dcf-be1d-2d6a5bf48ba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1730</Words>
  <Characters>11611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Ivančík Karol</dc:creator>
  <cp:keywords/>
  <dc:description/>
  <cp:lastModifiedBy>Slabá Júlia</cp:lastModifiedBy>
  <cp:revision>3</cp:revision>
  <cp:lastPrinted>2013-07-16T18:15:00Z</cp:lastPrinted>
  <dcterms:created xsi:type="dcterms:W3CDTF">2026-02-03T13:54:00Z</dcterms:created>
  <dcterms:modified xsi:type="dcterms:W3CDTF">2026-02-03T14:03:00Z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0x010100189B54F30DA0D347A4473FE62875890E</vt:lpwstr>
  </property>
  <property fmtid="{D5CDD505-2E9C-101B-9397-08002B2CF9AE}" pid="3" name="_dlc_DocIdItemGuid">
    <vt:lpwstr>be5a7496-6b84-4027-a90c-7bce2a04a3e9</vt:lpwstr>
  </property>
</Properties>
</file>