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wmf" ContentType="image/x-wmf"/>
  <Default Extension="png" ContentType="image/png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tabs>
          <w:tab w:val="center" w:leader="none" w:pos="7938"/>
        </w:tabs>
        <w:spacing w:after="0"/>
        <w:ind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sk-SK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sk-SK"/>
        </w:rPr>
        <w:t xml:space="preserve">CENOVÁ PONUKA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sk-SK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sk-SK"/>
        </w:rPr>
      </w:r>
    </w:p>
    <w:p>
      <w:pPr>
        <w:pBdr/>
        <w:tabs>
          <w:tab w:val="left" w:leader="none" w:pos="7938"/>
        </w:tabs>
        <w:spacing w:after="0"/>
        <w:ind w:hanging="2127" w:left="2127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</w:r>
    </w:p>
    <w:p>
      <w:pPr>
        <w:pBdr/>
        <w:tabs>
          <w:tab w:val="left" w:leader="none" w:pos="2127"/>
        </w:tabs>
        <w:spacing w:after="0"/>
        <w:ind w:hanging="2127" w:left="2127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  <w:t xml:space="preserve">Predmet zákazky: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  <w:t xml:space="preserve">„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sk-SK"/>
        </w:rPr>
        <w:t xml:space="preserve">Obstaranie užitkových vozidiel – pojazdná predajňa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  <w:t xml:space="preserve">“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</w:r>
    </w:p>
    <w:p>
      <w:pPr>
        <w:pBdr/>
        <w:tabs>
          <w:tab w:val="left" w:leader="none" w:pos="4962"/>
        </w:tabs>
        <w:spacing w:after="0" w:line="240" w:lineRule="auto"/>
        <w:ind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tbl>
      <w:tblPr>
        <w:tblStyle w:val="971"/>
        <w:tblW w:w="5000" w:type="pct"/>
        <w:tblBorders/>
        <w:tblLook w:val="04A0" w:firstRow="1" w:lastRow="0" w:firstColumn="1" w:lastColumn="0" w:noHBand="0" w:noVBand="1"/>
      </w:tblPr>
      <w:tblGrid>
        <w:gridCol w:w="9962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 w:line="276" w:lineRule="auto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Údaje uchádzača: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Obchodné meno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Sídlo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 w:line="276" w:lineRule="auto"/>
              <w:ind w:right="-19"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IČO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Kontaktné údaje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meno predkladajúceho - funkcia, telefónne číslo, email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Bdr/>
        <w:spacing w:after="0"/>
        <w:ind/>
        <w:rPr>
          <w:rFonts w:ascii="Times New Roman" w:hAnsi="Times New Roman" w:cs="Times New Roman"/>
          <w:b/>
          <w:sz w:val="24"/>
          <w:szCs w:val="24"/>
          <w:u w:val="single"/>
          <w:lang w:val="sk-SK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sz w:val="24"/>
          <w:szCs w:val="24"/>
          <w:u w:val="single"/>
          <w:lang w:val="sk-SK"/>
        </w:rPr>
      </w:r>
    </w:p>
    <w:tbl>
      <w:tblPr>
        <w:tblStyle w:val="971"/>
        <w:tblW w:w="5000" w:type="pct"/>
        <w:tblBorders/>
        <w:tblLook w:val="04A0" w:firstRow="1" w:lastRow="0" w:firstColumn="1" w:lastColumn="0" w:noHBand="0" w:noVBand="1"/>
      </w:tblPr>
      <w:tblGrid>
        <w:gridCol w:w="9962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Údaje zadávateľa: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Obchodné meno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Pavel Egri Bistro Royal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Sídlo: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Nová Ves 2226/39, 92901 Dunajská Streda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/>
              <w:ind w:right="-19"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IČO: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17730775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Kontaktné údaje: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Pavel Egri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majit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eľ živnosti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+421911442897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epali03@intermail.sk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 w14:paraId="4CD73E60">
      <w:pPr>
        <w:pBdr/>
        <w:spacing/>
        <w:ind/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</w:p>
    <w:tbl>
      <w:tblPr>
        <w:tblStyle w:val="971"/>
        <w:tblW w:w="5000" w:type="pct"/>
        <w:tblBorders/>
        <w:tblLook w:val="04A0" w:firstRow="1" w:lastRow="0" w:firstColumn="1" w:lastColumn="0" w:noHBand="0" w:noVBand="1"/>
      </w:tblPr>
      <w:tblGrid>
        <w:gridCol w:w="9962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00" w:type="pct"/>
          </w:tcPr>
          <w:p w14:paraId="3C4C8A99">
            <w:pPr>
              <w:pBdr/>
              <w:spacing w:after="120" w:before="120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Časť 1.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Úžitkové vozidlo A – pojazdná predajňa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</w:tbl>
    <w:p w14:paraId="3C562A59">
      <w:pPr>
        <w:pBdr/>
        <w:spacing/>
        <w:ind/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</w:p>
    <w:tbl>
      <w:tblPr>
        <w:tblStyle w:val="971"/>
        <w:tblW w:w="5000" w:type="pct"/>
        <w:tblBorders/>
        <w:tblLook w:val="04A0" w:firstRow="1" w:lastRow="0" w:firstColumn="1" w:lastColumn="0" w:noHBand="0" w:noVBand="1"/>
      </w:tblPr>
      <w:tblGrid>
        <w:gridCol w:w="3999"/>
        <w:gridCol w:w="1998"/>
        <w:gridCol w:w="2048"/>
        <w:gridCol w:w="1917"/>
      </w:tblGrid>
      <w:tr>
        <w:trPr>
          <w:trHeight w:val="510"/>
        </w:trPr>
        <w:tc>
          <w:tcPr>
            <w:gridSpan w:val="4"/>
            <w:tcBorders/>
            <w:tcW w:w="5000" w:type="pct"/>
            <w:vAlign w:val="center"/>
          </w:tcPr>
          <w:p w14:paraId="517139A2">
            <w:pPr>
              <w:pBdr/>
              <w:spacing w:after="120" w:before="120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Úžitkové vozidlo A – pojazdná predajňa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- 1 ks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trHeight w:val="510"/>
        </w:trPr>
        <w:tc>
          <w:tcPr>
            <w:gridSpan w:val="4"/>
            <w:tcBorders/>
            <w:tcW w:w="5000" w:type="pct"/>
            <w:vAlign w:val="center"/>
          </w:tcPr>
          <w:p w14:paraId="0BCDC26D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5A14B37B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Typové označenie: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...............................................................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53009B05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1A99A427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Pozn.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Uviesť   " Typové označenie zariadenia (modelový názov)"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7CC19F6A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trHeight w:val="510"/>
        </w:trPr>
        <w:tc>
          <w:tcPr>
            <w:tcBorders/>
            <w:tcW w:w="2007" w:type="pct"/>
            <w:vAlign w:val="center"/>
          </w:tcPr>
          <w:p w14:paraId="2999C637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Požadované parametre: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1003" w:type="pct"/>
            <w:vAlign w:val="center"/>
          </w:tcPr>
          <w:p w14:paraId="1929893B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Požadovaná hodnota: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1028" w:type="pct"/>
            <w:vAlign w:val="center"/>
          </w:tcPr>
          <w:p w14:paraId="060EB570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Uviest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áno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/nie, v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prípade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číselnej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hodnoty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uviest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 jej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skutočnost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962" w:type="pct"/>
            <w:vAlign w:val="center"/>
          </w:tcPr>
          <w:p w14:paraId="71E6D51B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Cena/1ks v  EUR bez DPH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7F8CE4C9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Skriňová dodávka s prestavbou na pojazdnú predajňu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60835CEB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2B1A9F24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Align w:val="center"/>
            <w:vMerge w:val="restart"/>
          </w:tcPr>
          <w:p w14:paraId="39DA1C8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...................., 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28281E15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Farba karos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érie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biela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758D1A7D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0386CD5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76658CA6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45" w:type="dxa"/>
            <w:vAlign w:val="bottom"/>
          </w:tcPr>
          <w:p w14:paraId="20FD9586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/>
                <w:iCs/>
                <w:sz w:val="24"/>
                <w:szCs w:val="24"/>
                <w:highlight w:val="none"/>
              </w:rPr>
              <w:t xml:space="preserve">MOTOR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1AA46CDC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</w:tcPr>
          <w:p w14:paraId="475F2EF2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Vznetový motor (nafta)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10B41227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30A6B3FE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15DBC115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4D9E350B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Zdvihový objem</w:t>
            </w:r>
            <w:r>
              <w:rPr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07B37181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2 000 cm³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62DB815F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575E8121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Merge w:val="restart"/>
          </w:tcPr>
          <w:p w14:paraId="0178550D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Výkon </w:t>
            </w:r>
            <w:r>
              <w:rPr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34F3C96F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125 kW (170 k)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178E7D13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7C0366A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Merge w:val="restart"/>
          </w:tcPr>
          <w:p w14:paraId="6AA40738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Emisná norma </w:t>
            </w:r>
            <w:r>
              <w:rPr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35FBB9AF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EURO 6 EA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65830BF7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5EE9B4E8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5216510A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Palivová nádrž</w:t>
            </w:r>
            <w:r>
              <w:rPr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27050854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90 l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52DBDE6C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0FB7FC7F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45" w:type="dxa"/>
          </w:tcPr>
          <w:p w14:paraId="5BD8E6F8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/>
                <w:iCs/>
                <w:sz w:val="24"/>
                <w:szCs w:val="24"/>
                <w:highlight w:val="none"/>
              </w:rPr>
              <w:t xml:space="preserve">PREVODOVKA A POHON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46498ECE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5E91F845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Prevodovka manuálna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1B15DEA3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14014E7F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4D15623C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5EACEEAD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Počet prevodových stupňov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2EAB87E6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24E281FF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040FE161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116B5E17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Pohon</w:t>
            </w:r>
            <w:r>
              <w:rPr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3AA5BA6D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predný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7EAFEFA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0C0B7A7F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45" w:type="dxa"/>
          </w:tcPr>
          <w:p w14:paraId="74CC3EA8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/>
                <w:iCs/>
                <w:sz w:val="24"/>
                <w:szCs w:val="24"/>
                <w:highlight w:val="none"/>
              </w:rPr>
              <w:t xml:space="preserve">ROZMERY A HMOTNOSTI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0297EB11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28944A93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Dĺžka vozidla </w:t>
            </w:r>
            <w:r>
              <w:rPr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4EA6CF57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6 200 mm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31D74616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5252038F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46CB76DB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Šírka vozidla</w:t>
            </w:r>
            <w:r>
              <w:rPr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7F3AA3D9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2 000 mm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7A184D5E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39E73EE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  <w:vMerge w:val="restart"/>
          </w:tcPr>
          <w:p w14:paraId="7D7B8FF5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Výška vozidla</w:t>
            </w:r>
            <w:r>
              <w:rPr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1C04DF45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2 450 mm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4370A204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0D24467E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  <w:vMerge w:val="restart"/>
          </w:tcPr>
          <w:p w14:paraId="6C99CA4B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Rázvor</w:t>
            </w:r>
            <w:r>
              <w:rPr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5AB89100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min. 3 950 mm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280B2827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36DBFCAE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  <w:vMerge w:val="restart"/>
          </w:tcPr>
          <w:p w14:paraId="60BFB80F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Celková prípustná hmotnosť</w:t>
            </w:r>
            <w:r>
              <w:rPr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7F42A143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3 400 kg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0969769F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62EF3BE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  <w:vMerge w:val="restart"/>
          </w:tcPr>
          <w:p w14:paraId="3F1A0B9D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Užitočné zaťaženie</w:t>
            </w:r>
            <w:r>
              <w:rPr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3E715AA9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950 kg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76F215D0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2B886268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45" w:type="dxa"/>
            <w:vAlign w:val="bottom"/>
            <w:vMerge w:val="restart"/>
          </w:tcPr>
          <w:p w14:paraId="4A194D80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/>
                <w:iCs/>
                <w:sz w:val="24"/>
                <w:szCs w:val="24"/>
                <w:highlight w:val="none"/>
              </w:rPr>
              <w:t xml:space="preserve">SPOTREBA A EMISIE (WLTP)</w:t>
            </w:r>
            <w:r>
              <w:rPr>
                <w:b w:val="0"/>
                <w:bCs/>
                <w:i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4636B778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  <w:vMerge w:val="restart"/>
          </w:tcPr>
          <w:p w14:paraId="4FF97074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Kombinovaná spotreba</w:t>
            </w:r>
            <w:r>
              <w:rPr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4FA1CC95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max. 8,5 l / 100 km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655B9DC2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42C53154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  <w:vMerge w:val="restart"/>
          </w:tcPr>
          <w:p w14:paraId="0E6EA1ED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Kombinované emisie CO₂</w:t>
            </w:r>
            <w:r>
              <w:rPr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001DB9A2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max. 220 g/km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40F3B743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5B41C0E1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45" w:type="dxa"/>
            <w:vAlign w:val="bottom"/>
            <w:vMerge w:val="restart"/>
          </w:tcPr>
          <w:p w14:paraId="5C4FEFE4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/>
                <w:iCs/>
                <w:sz w:val="24"/>
                <w:szCs w:val="24"/>
                <w:highlight w:val="none"/>
              </w:rPr>
              <w:t xml:space="preserve">KAB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/>
                <w:iCs/>
                <w:sz w:val="24"/>
                <w:szCs w:val="24"/>
                <w:highlight w:val="none"/>
              </w:rPr>
              <w:t xml:space="preserve">ÍNA A V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/>
                <w:iCs/>
                <w:sz w:val="24"/>
                <w:szCs w:val="24"/>
                <w:highlight w:val="none"/>
              </w:rPr>
              <w:t xml:space="preserve">ÝBAVA</w:t>
            </w:r>
            <w:r>
              <w:rPr>
                <w:b w:val="0"/>
                <w:bCs w:val="0"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75B01448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  <w:vMerge w:val="restart"/>
          </w:tcPr>
          <w:p w14:paraId="26D263FB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Počet sedadiel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2D46F912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7DEF4B93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5D83C76C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  <w:vMerge w:val="restart"/>
          </w:tcPr>
          <w:p w14:paraId="0017D936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Manuálna klimatizácia</w:t>
            </w:r>
            <w:r>
              <w:rPr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0F62D7E1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72D6F59B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1A396F27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  <w:vMerge w:val="restart"/>
          </w:tcPr>
          <w:p w14:paraId="1404095B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Tempomat</w:t>
            </w:r>
            <w:r>
              <w:rPr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2A20FD94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02C2FDC3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49CE49C5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  <w:vMerge w:val="restart"/>
          </w:tcPr>
          <w:p w14:paraId="25323216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Zadná parkovacia kamera</w:t>
            </w:r>
            <w:r>
              <w:rPr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412799C2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2439CCD2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51C3BAA0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  <w:vMerge w:val="restart"/>
          </w:tcPr>
          <w:p w14:paraId="7CC9CBB5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Zadné parkovacie senzory</w:t>
            </w:r>
            <w:r>
              <w:rPr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6E462046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73AEA4E7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43F2A82C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  <w:vMerge w:val="restart"/>
          </w:tcPr>
          <w:p w14:paraId="3240FB60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Predkolízny systém (PCS)</w:t>
            </w:r>
            <w:r>
              <w:rPr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488C6F94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3CE2C2B0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6B366D24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  <w:vMerge w:val="restart"/>
          </w:tcPr>
          <w:p w14:paraId="22B66CF7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Systém udržiavania v jazdnom pruhu (LTA)</w:t>
            </w:r>
            <w:r>
              <w:rPr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4CF7FFCB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04F00FD3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151DE674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  <w:vMerge w:val="restart"/>
          </w:tcPr>
          <w:p w14:paraId="2D60AA07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Asistent rozjazdu do kopca (HAC)</w:t>
            </w:r>
            <w:r>
              <w:rPr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0C9C3E85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5DD47699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18BC1DF1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  <w:vMerge w:val="restart"/>
          </w:tcPr>
          <w:p w14:paraId="43FF89BC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Dotykový displej</w:t>
            </w:r>
            <w:r>
              <w:rPr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0AF2A0BC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áno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62B008A9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044C81FC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  <w:vMerge w:val="restart"/>
          </w:tcPr>
          <w:p w14:paraId="65BF1327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Bluetooth, DAB+</w:t>
            </w:r>
            <w:r>
              <w:rPr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4F0DE4E0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0E1431D9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53BE0203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  <w:vMerge w:val="restart"/>
          </w:tcPr>
          <w:p w14:paraId="0EAC399F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Rezervné koleso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54335014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1F1D0003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62A7185F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45" w:type="dxa"/>
            <w:vAlign w:val="bottom"/>
            <w:vMerge w:val="restart"/>
          </w:tcPr>
          <w:p w14:paraId="711BBC4F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/>
                <w:iCs/>
                <w:sz w:val="24"/>
                <w:szCs w:val="24"/>
                <w:highlight w:val="none"/>
              </w:rPr>
              <w:t xml:space="preserve">PRESTAVBA - POJAZDN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/>
                <w:iCs/>
                <w:sz w:val="24"/>
                <w:szCs w:val="24"/>
                <w:highlight w:val="none"/>
              </w:rPr>
              <w:t xml:space="preserve">Á PREDAJ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/>
                <w:iCs/>
                <w:sz w:val="24"/>
                <w:szCs w:val="24"/>
                <w:highlight w:val="none"/>
              </w:rPr>
              <w:t xml:space="preserve">ŇA</w:t>
            </w:r>
            <w:r>
              <w:rPr>
                <w:rFonts w:ascii="Times New Roman" w:hAnsi="Times New Roman" w:eastAsia="Times New Roman" w:cs="Times New Roman"/>
                <w:b w:val="0"/>
                <w:bCs/>
                <w:i/>
                <w:sz w:val="24"/>
                <w:szCs w:val="24"/>
                <w:highlight w:val="none"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3376D1C6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  <w:vMerge w:val="restart"/>
          </w:tcPr>
          <w:p w14:paraId="645E4957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highlight w:val="none"/>
              </w:rPr>
              <w:t xml:space="preserve">Prestavba ložnej časti vozidla na predajňu pekárenských výrobkov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z w:val="24"/>
                <w:szCs w:val="24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6138D7F9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2F40AE2E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6FDBF279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  <w:vMerge w:val="restart"/>
          </w:tcPr>
          <w:p w14:paraId="53699DD3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highlight w:val="none"/>
              </w:rPr>
              <w:t xml:space="preserve">Protokol zo štátnej skúšobne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z w:val="24"/>
                <w:szCs w:val="24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4A9246B4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18BF2E27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0155AFEB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  <w:vMerge w:val="restart"/>
          </w:tcPr>
          <w:p w14:paraId="30C4AD43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highlight w:val="none"/>
              </w:rPr>
              <w:t xml:space="preserve">Zápis do osvedčenia o evidencii na úrade dopravy (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highlight w:val="none"/>
              </w:rPr>
              <w:t xml:space="preserve">okresný úrad, odbor cestnej dopravy a pozemných komunikácií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highlight w:val="none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z w:val="24"/>
                <w:szCs w:val="24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4D376F57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4D43C446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263D073B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  <w:vMerge w:val="restart"/>
          </w:tcPr>
          <w:p w14:paraId="3DA85422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highlight w:val="none"/>
              </w:rPr>
              <w:t xml:space="preserve">Umývadlo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z w:val="24"/>
                <w:szCs w:val="24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4EE3EB0F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13D59E4F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1ABE2F40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  <w:vMerge w:val="restart"/>
          </w:tcPr>
          <w:p w14:paraId="4DFED4F8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highlight w:val="none"/>
              </w:rPr>
              <w:t xml:space="preserve">Chladnička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z w:val="24"/>
                <w:szCs w:val="24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0E03FF65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highlight w:val="none"/>
              </w:rPr>
              <w:t xml:space="preserve">áno</w:t>
              <w:br/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7F88C443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5E7AF05E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  <w:vMerge w:val="restart"/>
          </w:tcPr>
          <w:p w14:paraId="08AF7D16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highlight w:val="none"/>
              </w:rPr>
              <w:t xml:space="preserve">Regálový systém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7A8E3E92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áno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6A720D30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729BACC4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  <w:vMerge w:val="restart"/>
          </w:tcPr>
          <w:p w14:paraId="58E04D5B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highlight w:val="none"/>
              </w:rPr>
              <w:t xml:space="preserve">Predajný pult – bočný uzamykateľný na pántoch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z w:val="24"/>
                <w:szCs w:val="24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3FBA85C7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1034CDE2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08164225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45" w:type="dxa"/>
            <w:vAlign w:val="bottom"/>
            <w:vMerge w:val="restart"/>
          </w:tcPr>
          <w:p w14:paraId="70A78D79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/>
                <w:iCs/>
                <w:sz w:val="24"/>
                <w:szCs w:val="24"/>
                <w:highlight w:val="none"/>
              </w:rPr>
              <w:t xml:space="preserve">Z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/>
                <w:iCs/>
                <w:sz w:val="24"/>
                <w:szCs w:val="24"/>
                <w:highlight w:val="none"/>
              </w:rPr>
              <w:t xml:space="preserve">ÁRUKA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42D82512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</w:tcPr>
          <w:p w14:paraId="61BE6596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highlight w:val="none"/>
              </w:rPr>
              <w:t xml:space="preserve">Záruka (roky alebo km) podľa toho čo nastane skôr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54204BF1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/>
                <w:iCs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highlight w:val="none"/>
              </w:rPr>
              <w:t xml:space="preserve">min.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highlight w:val="none"/>
              </w:rPr>
              <w:t xml:space="preserve">5 rokov alebo 250 000 km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/>
                <w:iCs/>
                <w:sz w:val="24"/>
                <w:szCs w:val="24"/>
                <w:highlight w:val="none"/>
              </w:rPr>
            </w:r>
            <w:r/>
          </w:p>
          <w:p w14:paraId="1737089A"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7BF949A7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7C6258B4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38" w:type="pct"/>
            <w:vAlign w:val="center"/>
          </w:tcPr>
          <w:p w14:paraId="78F9A01E">
            <w:pPr>
              <w:pBdr/>
              <w:spacing w:after="120" w:before="120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SUMA SPOLU (EUR bez DPH)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2" w:type="pct"/>
            <w:vAlign w:val="center"/>
          </w:tcPr>
          <w:p w14:paraId="6E632ED0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................,-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</w:tbl>
    <w:p w14:paraId="355049B5">
      <w:pPr>
        <w:pBdr/>
        <w:spacing/>
        <w:ind/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</w:p>
    <w:tbl>
      <w:tblPr>
        <w:tblStyle w:val="971"/>
        <w:tblW w:w="5000" w:type="pct"/>
        <w:tblBorders/>
        <w:tblLook w:val="04A0" w:firstRow="1" w:lastRow="0" w:firstColumn="1" w:lastColumn="0" w:noHBand="0" w:noVBand="1"/>
      </w:tblPr>
      <w:tblGrid>
        <w:gridCol w:w="9962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00" w:type="pct"/>
          </w:tcPr>
          <w:p w14:paraId="52F41ED9">
            <w:pPr>
              <w:pBdr/>
              <w:spacing w:after="120" w:before="120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Č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asť 2.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Úžitkové vozidlo B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</w:tbl>
    <w:p>
      <w:pPr>
        <w:pBdr/>
        <w:spacing/>
        <w:ind/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</w:p>
    <w:tbl>
      <w:tblPr>
        <w:tblStyle w:val="971"/>
        <w:tblW w:w="5000" w:type="pct"/>
        <w:tblBorders/>
        <w:tblLayout w:type="fixed"/>
        <w:tblLook w:val="04A0" w:firstRow="1" w:lastRow="0" w:firstColumn="1" w:lastColumn="0" w:noHBand="0" w:noVBand="1"/>
      </w:tblPr>
      <w:tblGrid>
        <w:gridCol w:w="3999"/>
        <w:gridCol w:w="1998"/>
        <w:gridCol w:w="2243"/>
        <w:gridCol w:w="1721"/>
      </w:tblGrid>
      <w:tr>
        <w:trPr>
          <w:trHeight w:val="510"/>
        </w:trPr>
        <w:tc>
          <w:tcPr>
            <w:gridSpan w:val="4"/>
            <w:tcBorders/>
            <w:tcW w:w="9962" w:type="dxa"/>
            <w:vAlign w:val="center"/>
          </w:tcPr>
          <w:p>
            <w:pPr>
              <w:pBdr/>
              <w:spacing w:after="120" w:before="120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Úžitkové vozidlo B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 1 ks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trHeight w:val="510"/>
        </w:trPr>
        <w:tc>
          <w:tcPr>
            <w:gridSpan w:val="4"/>
            <w:tcBorders/>
            <w:tcW w:w="9962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Typové označenie: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...............................................................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Pozn.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Uviesť   " Typové označenie zariadenia (modelový názov)"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trHeight w:val="510"/>
        </w:trPr>
        <w:tc>
          <w:tcPr>
            <w:tcBorders/>
            <w:tcW w:w="3999" w:type="dxa"/>
            <w:vAlign w:val="center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Požadované parametre: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1998" w:type="dxa"/>
            <w:vAlign w:val="center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Požadovaná hodnota: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2243" w:type="dxa"/>
            <w:vAlign w:val="center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Uviest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áno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/nie, v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prípade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číselnej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hodnoty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uviest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 jej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skutočnost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1721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Cena/1ks v  EUR bez DPH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</w:tcPr>
          <w:p w14:paraId="09CF68AE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Skriňová dodávka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</w:tcPr>
          <w:p w14:paraId="674917D0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2" w:type="dxa"/>
            <w:vAlign w:val="center"/>
            <w:vMerge w:val="restart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...................., 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 w14:paraId="3B7B368E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 w14:paraId="4BC5B165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</w:tcPr>
          <w:p w14:paraId="50374C41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Farba karos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érie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biela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</w:tcPr>
          <w:p w14:paraId="0746C513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40" w:type="dxa"/>
            <w:vAlign w:val="bottom"/>
          </w:tcPr>
          <w:p w14:paraId="65A75447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/>
                <w:iCs/>
                <w:sz w:val="24"/>
                <w:szCs w:val="24"/>
                <w:highlight w:val="none"/>
              </w:rPr>
              <w:t xml:space="preserve">MOTOR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  <w:vAlign w:val="bottom"/>
          </w:tcPr>
          <w:p w14:paraId="2C229A26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Vznetový motor (nafta)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</w:tcPr>
          <w:p w14:paraId="1DFDFF9D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</w:tcPr>
          <w:p w14:paraId="3D9650B3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Zdvihový objem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</w:tcPr>
          <w:p w14:paraId="76F68AB6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2 000 cm³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</w:tcPr>
          <w:p w14:paraId="18C0AAB3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Výkon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</w:tcPr>
          <w:p w14:paraId="2D9004BC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125 kW (170 k)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</w:tcPr>
          <w:p w14:paraId="6C5A6B62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Emisná norma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</w:tcPr>
          <w:p w14:paraId="38B40E95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EURO 6 EA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</w:tcPr>
          <w:p w14:paraId="39886446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Palivová nádrž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</w:tcPr>
          <w:p w14:paraId="76FF8862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90 l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40" w:type="dxa"/>
            <w:vMerge w:val="restart"/>
          </w:tcPr>
          <w:p w14:paraId="615D99BF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/>
                <w:iCs/>
                <w:sz w:val="24"/>
                <w:szCs w:val="24"/>
                <w:highlight w:val="none"/>
              </w:rPr>
              <w:t xml:space="preserve">PREVODOVKA A POHON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 w14:paraId="794A47F8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  <w:vMerge w:val="restart"/>
          </w:tcPr>
          <w:p w14:paraId="55BC036A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Prevodovka automatická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  <w:vMerge w:val="restart"/>
          </w:tcPr>
          <w:p w14:paraId="585FAAFA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  <w:vMerge w:val="restart"/>
          </w:tcPr>
          <w:p w14:paraId="744F50CF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 w14:paraId="6CCD0F2C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  <w:vMerge w:val="restart"/>
          </w:tcPr>
          <w:p w14:paraId="77797CA0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Počet prevodových stupňov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  <w:vMerge w:val="restart"/>
          </w:tcPr>
          <w:p w14:paraId="5DACCADC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  <w:vMerge w:val="restart"/>
          </w:tcPr>
          <w:p w14:paraId="0643FF5B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 w14:paraId="766BB006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  <w:vMerge w:val="restart"/>
          </w:tcPr>
          <w:p w14:paraId="432BB8D2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Pohon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  <w:vMerge w:val="restart"/>
          </w:tcPr>
          <w:p w14:paraId="578A7B88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predný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  <w:vMerge w:val="restart"/>
          </w:tcPr>
          <w:p w14:paraId="4706D98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 w14:paraId="6F38DC9C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40" w:type="dxa"/>
          </w:tcPr>
          <w:p w14:paraId="03313EBA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/>
                <w:iCs/>
                <w:sz w:val="24"/>
                <w:szCs w:val="24"/>
                <w:highlight w:val="none"/>
              </w:rPr>
              <w:t xml:space="preserve">ROZMERY A HMOTNOSTI</w:t>
            </w:r>
            <w:r>
              <w:rPr>
                <w:rFonts w:ascii="Times New Roman" w:hAnsi="Times New Roman" w:eastAsia="Times New Roman" w:cs="Times New Roman"/>
                <w:b w:val="0"/>
                <w:bCs/>
                <w:i/>
                <w:sz w:val="24"/>
                <w:szCs w:val="24"/>
                <w:highlight w:val="none"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</w:tcPr>
          <w:p w14:paraId="7409785E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Dĺžka vozidla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</w:tcPr>
          <w:p w14:paraId="6EA9587F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5 900 mm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</w:tcPr>
          <w:p w14:paraId="73FFF21B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Šírka vozidla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</w:tcPr>
          <w:p w14:paraId="1B4465E6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2 000 mm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  <w:vMerge w:val="restart"/>
          </w:tcPr>
          <w:p w14:paraId="173D9CE5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Výška vozidla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  <w:vMerge w:val="restart"/>
          </w:tcPr>
          <w:p w14:paraId="7EF554BC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2 450 mm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  <w:vMerge w:val="restart"/>
          </w:tcPr>
          <w:p w14:paraId="2D5AAB9C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 w14:paraId="79C64795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  <w:vMerge w:val="restart"/>
          </w:tcPr>
          <w:p w14:paraId="6EA6AFC7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Rázvor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  <w:vMerge w:val="restart"/>
          </w:tcPr>
          <w:p w14:paraId="19A4A729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min. 3 950 mm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  <w:vMerge w:val="restart"/>
          </w:tcPr>
          <w:p w14:paraId="60F816CF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 w14:paraId="68B5C022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  <w:vMerge w:val="restart"/>
          </w:tcPr>
          <w:p w14:paraId="60C405FF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Celková prípustná hmotnosť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  <w:vMerge w:val="restart"/>
          </w:tcPr>
          <w:p w14:paraId="622B3627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3 400 kg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  <w:vMerge w:val="restart"/>
          </w:tcPr>
          <w:p w14:paraId="21E51BC6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 w14:paraId="0C9D4C21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  <w:vMerge w:val="restart"/>
          </w:tcPr>
          <w:p w14:paraId="17574E38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Užitočné zaťaženie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  <w:vMerge w:val="restart"/>
          </w:tcPr>
          <w:p w14:paraId="7FDB3D7D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950 kg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  <w:vMerge w:val="restart"/>
          </w:tcPr>
          <w:p w14:paraId="6037EE18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 w14:paraId="6B85A00F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40" w:type="dxa"/>
            <w:vMerge w:val="restart"/>
          </w:tcPr>
          <w:p w14:paraId="0CA6ADA5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/>
                <w:iCs/>
                <w:sz w:val="24"/>
                <w:szCs w:val="24"/>
                <w:highlight w:val="none"/>
              </w:rPr>
              <w:t xml:space="preserve">LO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/>
                <w:iCs/>
                <w:sz w:val="24"/>
                <w:szCs w:val="24"/>
                <w:highlight w:val="none"/>
              </w:rPr>
              <w:t xml:space="preserve">ŽN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/>
                <w:iCs/>
                <w:sz w:val="24"/>
                <w:szCs w:val="24"/>
                <w:highlight w:val="none"/>
              </w:rPr>
              <w:t xml:space="preserve">Ý PRIESTOR</w:t>
            </w:r>
            <w:r>
              <w:rPr>
                <w:rFonts w:ascii="Times New Roman" w:hAnsi="Times New Roman" w:eastAsia="Times New Roman" w:cs="Times New Roman"/>
                <w:b w:val="0"/>
                <w:bCs/>
                <w:i/>
                <w:sz w:val="24"/>
                <w:szCs w:val="24"/>
                <w:highlight w:val="none"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 w14:paraId="550E4F4E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  <w:vMerge w:val="restart"/>
          </w:tcPr>
          <w:p w14:paraId="49C845DE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Dĺžka nákladovej plochy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  <w:vMerge w:val="restart"/>
          </w:tcPr>
          <w:p w14:paraId="2019FFD2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3 600 mm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  <w:vMerge w:val="restart"/>
          </w:tcPr>
          <w:p w14:paraId="66AE3F14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 w14:paraId="45066334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  <w:vMerge w:val="restart"/>
          </w:tcPr>
          <w:p w14:paraId="0BACDD33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Šírka nákladovej plochy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  <w:vMerge w:val="restart"/>
          </w:tcPr>
          <w:p w14:paraId="74BE2490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1 800 mm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  <w:vMerge w:val="restart"/>
          </w:tcPr>
          <w:p w14:paraId="21C0350C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 w14:paraId="5944C84E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  <w:vMerge w:val="restart"/>
          </w:tcPr>
          <w:p w14:paraId="197F87F6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Výška nákladovej plochy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  <w:vMerge w:val="restart"/>
          </w:tcPr>
          <w:p w14:paraId="4C897A56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1 850 mm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  <w:vMerge w:val="restart"/>
          </w:tcPr>
          <w:p w14:paraId="12BADE9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 w14:paraId="47292ED7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  <w:vMerge w:val="restart"/>
          </w:tcPr>
          <w:p w14:paraId="45777538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Objem ložného priestoru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  <w:vMerge w:val="restart"/>
          </w:tcPr>
          <w:p w14:paraId="2FBD0D81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11,5 m³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  <w:vMerge w:val="restart"/>
          </w:tcPr>
          <w:p w14:paraId="7B498475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 w14:paraId="1AD5B86A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  <w:vMerge w:val="restart"/>
          </w:tcPr>
          <w:p w14:paraId="68ED1847">
            <w:pPr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Ložný priestor je riešený v súlade s hygienickými požiadavkami na prepravu potravín – pekárenských výrobkov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  <w:vMerge w:val="restart"/>
          </w:tcPr>
          <w:p w14:paraId="498E6C22">
            <w:pPr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  <w:vMerge w:val="restart"/>
          </w:tcPr>
          <w:p w14:paraId="4344A2C4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 w14:paraId="33746373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40" w:type="dxa"/>
            <w:vMerge w:val="restart"/>
          </w:tcPr>
          <w:p w14:paraId="7BDCDE63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/>
                <w:iCs/>
                <w:sz w:val="24"/>
                <w:szCs w:val="24"/>
                <w:highlight w:val="none"/>
              </w:rPr>
              <w:t xml:space="preserve">SPOTREBA A EMISIE (WLTP)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 w14:paraId="1D664412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  <w:vMerge w:val="restart"/>
          </w:tcPr>
          <w:p w14:paraId="7969A9E6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Kombinovaná spotreba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  <w:vMerge w:val="restart"/>
          </w:tcPr>
          <w:p w14:paraId="5E6DD825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max. 9,5 l / 100 km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  <w:vMerge w:val="restart"/>
          </w:tcPr>
          <w:p w14:paraId="4A3D065B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 w14:paraId="09DFBC92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  <w:vMerge w:val="restart"/>
          </w:tcPr>
          <w:p w14:paraId="3FCD534A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Kombinované emisie CO₂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  <w:vMerge w:val="restart"/>
          </w:tcPr>
          <w:p w14:paraId="3A0C3D3E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max. 240 g/km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  <w:vMerge w:val="restart"/>
          </w:tcPr>
          <w:p w14:paraId="53CC2D16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 w14:paraId="6722EC71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40" w:type="dxa"/>
            <w:vMerge w:val="restart"/>
          </w:tcPr>
          <w:p w14:paraId="7E8145EC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/>
                <w:iCs/>
                <w:sz w:val="24"/>
                <w:szCs w:val="24"/>
                <w:highlight w:val="none"/>
              </w:rPr>
              <w:t xml:space="preserve">KAB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/>
                <w:iCs/>
                <w:sz w:val="24"/>
                <w:szCs w:val="24"/>
                <w:highlight w:val="none"/>
              </w:rPr>
              <w:t xml:space="preserve">ÍNA A V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/>
                <w:iCs/>
                <w:sz w:val="24"/>
                <w:szCs w:val="24"/>
                <w:highlight w:val="none"/>
              </w:rPr>
              <w:t xml:space="preserve">ÝBAVA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 w14:paraId="1E5639CC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  <w:vMerge w:val="restart"/>
          </w:tcPr>
          <w:p w14:paraId="13EBD36C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Počet sedadiel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  <w:vMerge w:val="restart"/>
          </w:tcPr>
          <w:p w14:paraId="422E1EC8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  <w:vMerge w:val="restart"/>
          </w:tcPr>
          <w:p w14:paraId="575D78F3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 w14:paraId="407C501A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  <w:vMerge w:val="restart"/>
          </w:tcPr>
          <w:p w14:paraId="32889C1A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Manuálna klimatizácia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  <w:vMerge w:val="restart"/>
          </w:tcPr>
          <w:p w14:paraId="03577748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  <w:vMerge w:val="restart"/>
          </w:tcPr>
          <w:p w14:paraId="4FCA9B70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 w14:paraId="7E83CE46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  <w:vMerge w:val="restart"/>
          </w:tcPr>
          <w:p w14:paraId="69E72CD5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Tempomat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  <w:vMerge w:val="restart"/>
          </w:tcPr>
          <w:p w14:paraId="594387B2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  <w:vMerge w:val="restart"/>
          </w:tcPr>
          <w:p w14:paraId="01787355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 w14:paraId="59ED7F32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  <w:vMerge w:val="restart"/>
          </w:tcPr>
          <w:p w14:paraId="0FE1771F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Zadná parkovacia kamera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  <w:vMerge w:val="restart"/>
          </w:tcPr>
          <w:p w14:paraId="795636DE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  <w:vMerge w:val="restart"/>
          </w:tcPr>
          <w:p w14:paraId="7F2CD1E7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 w14:paraId="7BE17585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  <w:vMerge w:val="restart"/>
          </w:tcPr>
          <w:p w14:paraId="17846902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Zadné parkovacie senzory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  <w:vMerge w:val="restart"/>
          </w:tcPr>
          <w:p w14:paraId="5A370EE5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  <w:vMerge w:val="restart"/>
          </w:tcPr>
          <w:p w14:paraId="53A608D3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 w14:paraId="4565AA49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  <w:vMerge w:val="restart"/>
          </w:tcPr>
          <w:p w14:paraId="5DD2D313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Predkolízny systém (PCS)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  <w:vMerge w:val="restart"/>
          </w:tcPr>
          <w:p w14:paraId="051810BA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  <w:vMerge w:val="restart"/>
          </w:tcPr>
          <w:p w14:paraId="1994D98F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 w14:paraId="11B4B8EE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  <w:vMerge w:val="restart"/>
          </w:tcPr>
          <w:p w14:paraId="30FBC643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Systém udržiavania v jazdnom pruhu (LTA)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  <w:vMerge w:val="restart"/>
          </w:tcPr>
          <w:p w14:paraId="1A517BC0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  <w:vMerge w:val="restart"/>
          </w:tcPr>
          <w:p w14:paraId="783C53FC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 w14:paraId="152664EF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  <w:vMerge w:val="restart"/>
          </w:tcPr>
          <w:p w14:paraId="40C32307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Asistent rozjazdu do kopca (HAC)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  <w:vMerge w:val="restart"/>
          </w:tcPr>
          <w:p w14:paraId="4E2CAA41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  <w:vMerge w:val="restart"/>
          </w:tcPr>
          <w:p w14:paraId="55403585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 w14:paraId="32C10E46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  <w:vMerge w:val="restart"/>
          </w:tcPr>
          <w:p w14:paraId="41EE6BE5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Dotykový displej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  <w:vMerge w:val="restart"/>
          </w:tcPr>
          <w:p w14:paraId="4ACFFDA6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  <w:vMerge w:val="restart"/>
          </w:tcPr>
          <w:p w14:paraId="4E5550FB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 w14:paraId="4619A5E4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</w:tcPr>
          <w:p w14:paraId="48D8D8FD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Bluetooth, DAB+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</w:tcPr>
          <w:p w14:paraId="593E57C0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40" w:type="dxa"/>
            <w:vMerge w:val="restart"/>
          </w:tcPr>
          <w:p w14:paraId="28F75894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/>
                <w:iCs/>
                <w:sz w:val="24"/>
                <w:szCs w:val="24"/>
                <w:highlight w:val="none"/>
              </w:rPr>
              <w:t xml:space="preserve">Z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/>
                <w:iCs/>
                <w:sz w:val="24"/>
                <w:szCs w:val="24"/>
                <w:highlight w:val="none"/>
              </w:rPr>
              <w:t xml:space="preserve">ÁRUKA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 w14:paraId="557372FC"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  <w:vMerge w:val="restart"/>
          </w:tcPr>
          <w:p w14:paraId="115DBE81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highlight w:val="none"/>
              </w:rPr>
              <w:t xml:space="preserve">Záruka (roky alebo km) podľa toho čo nastane skôr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  <w:vMerge w:val="restart"/>
          </w:tcPr>
          <w:p w14:paraId="126E7F99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/>
                <w:iCs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highlight w:val="none"/>
              </w:rPr>
              <w:t xml:space="preserve">min.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highlight w:val="none"/>
              </w:rPr>
              <w:t xml:space="preserve">5 rokov alebo 250 000 km</w:t>
            </w:r>
            <w:r/>
          </w:p>
          <w:p w14:paraId="5B2C810D"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  <w:vMerge w:val="restart"/>
          </w:tcPr>
          <w:p w14:paraId="4F932C42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 w14:paraId="4E31D553"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41" w:type="dxa"/>
            <w:vAlign w:val="center"/>
          </w:tcPr>
          <w:p>
            <w:pPr>
              <w:pBdr/>
              <w:spacing w:after="120" w:before="120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/>
            <w:bookmarkStart w:id="0" w:name="_GoBack"/>
            <w:r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SUMA SPOLU (EUR bez DPH)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21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................,-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</w:tbl>
    <w:p w14:paraId="6E5D719F">
      <w:pPr>
        <w:pBdr/>
        <w:spacing w:after="0"/>
        <w:ind/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</w:p>
    <w:p w14:paraId="1F683BBB">
      <w:pPr>
        <w:pBdr/>
        <w:spacing w:after="0"/>
        <w:ind/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</w:p>
    <w:p>
      <w:pPr>
        <w:pBdr/>
        <w:tabs>
          <w:tab w:val="left" w:leader="none" w:pos="4962"/>
        </w:tabs>
        <w:spacing w:after="0"/>
        <w:ind w:firstLine="0" w:left="0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Poznámky</w:t>
      </w:r>
      <w:r>
        <w:rPr>
          <w:rFonts w:ascii="Times New Roman" w:hAnsi="Times New Roman" w:cs="Times New Roman"/>
          <w:bCs/>
          <w:sz w:val="24"/>
          <w:szCs w:val="24"/>
        </w:rPr>
        <w:t xml:space="preserve">*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</w:rPr>
        <w:t xml:space="preserve">………………….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Bdr/>
        <w:tabs>
          <w:tab w:val="left" w:leader="none" w:pos="4962"/>
        </w:tabs>
        <w:spacing w:after="0"/>
        <w:ind w:hanging="180" w:left="18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tabs>
          <w:tab w:val="left" w:leader="none" w:pos="4962"/>
        </w:tabs>
        <w:spacing w:after="0"/>
        <w:ind w:hanging="180" w:left="18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*</w:t>
      </w:r>
      <w: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V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prípade</w:t>
      </w:r>
      <w:r>
        <w:rPr>
          <w:rFonts w:ascii="Times New Roman" w:hAnsi="Times New Roman" w:cs="Times New Roman"/>
          <w:bCs/>
          <w:sz w:val="24"/>
          <w:szCs w:val="24"/>
        </w:rPr>
        <w:t xml:space="preserve"> že </w:t>
      </w:r>
      <w:r>
        <w:rPr>
          <w:rFonts w:ascii="Times New Roman" w:hAnsi="Times New Roman" w:cs="Times New Roman"/>
          <w:bCs/>
          <w:sz w:val="24"/>
          <w:szCs w:val="24"/>
        </w:rPr>
        <w:t xml:space="preserve">uchádzač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nie</w:t>
      </w:r>
      <w:r>
        <w:rPr>
          <w:rFonts w:ascii="Times New Roman" w:hAnsi="Times New Roman" w:cs="Times New Roman"/>
          <w:bCs/>
          <w:sz w:val="24"/>
          <w:szCs w:val="24"/>
        </w:rPr>
        <w:t xml:space="preserve"> je </w:t>
      </w:r>
      <w:r>
        <w:rPr>
          <w:rFonts w:ascii="Times New Roman" w:hAnsi="Times New Roman" w:cs="Times New Roman"/>
          <w:bCs/>
          <w:sz w:val="24"/>
          <w:szCs w:val="24"/>
        </w:rPr>
        <w:t xml:space="preserve">platca</w:t>
      </w:r>
      <w:r>
        <w:rPr>
          <w:rFonts w:ascii="Times New Roman" w:hAnsi="Times New Roman" w:cs="Times New Roman"/>
          <w:bCs/>
          <w:sz w:val="24"/>
          <w:szCs w:val="24"/>
        </w:rPr>
        <w:t xml:space="preserve"> DPH </w:t>
      </w:r>
      <w:r>
        <w:rPr>
          <w:rFonts w:ascii="Times New Roman" w:hAnsi="Times New Roman" w:cs="Times New Roman"/>
          <w:bCs/>
          <w:sz w:val="24"/>
          <w:szCs w:val="24"/>
        </w:rPr>
        <w:t xml:space="preserve">uvedie</w:t>
      </w:r>
      <w:r>
        <w:rPr>
          <w:rFonts w:ascii="Times New Roman" w:hAnsi="Times New Roman" w:cs="Times New Roman"/>
          <w:bCs/>
          <w:sz w:val="24"/>
          <w:szCs w:val="24"/>
        </w:rPr>
        <w:t xml:space="preserve"> to v </w:t>
      </w:r>
      <w:r>
        <w:rPr>
          <w:rFonts w:ascii="Times New Roman" w:hAnsi="Times New Roman" w:cs="Times New Roman"/>
          <w:bCs/>
          <w:sz w:val="24"/>
          <w:szCs w:val="24"/>
        </w:rPr>
        <w:t xml:space="preserve">ponuke</w:t>
      </w:r>
      <w:r>
        <w:rPr>
          <w:rFonts w:ascii="Times New Roman" w:hAnsi="Times New Roman" w:cs="Times New Roman"/>
          <w:bCs/>
          <w:sz w:val="24"/>
          <w:szCs w:val="24"/>
        </w:rPr>
        <w:t xml:space="preserve"> v časti poznámky.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tabs>
          <w:tab w:val="left" w:leader="none" w:pos="4962"/>
        </w:tabs>
        <w:spacing w:after="0"/>
        <w:ind w:hanging="180" w:left="18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tabs>
          <w:tab w:val="left" w:leader="none" w:pos="4962"/>
        </w:tabs>
        <w:spacing w:after="0"/>
        <w:ind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Čestne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prehlasujeme</w:t>
      </w:r>
      <w:r>
        <w:rPr>
          <w:rFonts w:ascii="Times New Roman" w:hAnsi="Times New Roman" w:cs="Times New Roman"/>
          <w:bCs/>
          <w:sz w:val="24"/>
          <w:szCs w:val="24"/>
        </w:rPr>
        <w:t xml:space="preserve">, že akceptujeme </w:t>
      </w:r>
      <w:r>
        <w:rPr>
          <w:rFonts w:ascii="Times New Roman" w:hAnsi="Times New Roman" w:cs="Times New Roman"/>
          <w:bCs/>
          <w:sz w:val="24"/>
          <w:szCs w:val="24"/>
        </w:rPr>
        <w:t xml:space="preserve">všetky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požiadavky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zadávateľa</w:t>
      </w:r>
      <w:r>
        <w:rPr>
          <w:rFonts w:ascii="Times New Roman" w:hAnsi="Times New Roman" w:cs="Times New Roman"/>
          <w:bCs/>
          <w:sz w:val="24"/>
          <w:szCs w:val="24"/>
        </w:rPr>
        <w:t xml:space="preserve"> a </w:t>
      </w:r>
      <w:r>
        <w:rPr>
          <w:rFonts w:ascii="Times New Roman" w:hAnsi="Times New Roman" w:cs="Times New Roman"/>
          <w:bCs/>
          <w:sz w:val="24"/>
          <w:szCs w:val="24"/>
        </w:rPr>
        <w:t xml:space="preserve">tieto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požiadavky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sme</w:t>
      </w:r>
      <w:r>
        <w:rPr>
          <w:rFonts w:ascii="Times New Roman" w:hAnsi="Times New Roman" w:cs="Times New Roman"/>
          <w:bCs/>
          <w:sz w:val="24"/>
          <w:szCs w:val="24"/>
        </w:rPr>
        <w:t xml:space="preserve"> zahrnuli do </w:t>
      </w:r>
      <w:r>
        <w:rPr>
          <w:rFonts w:ascii="Times New Roman" w:hAnsi="Times New Roman" w:cs="Times New Roman"/>
          <w:bCs/>
          <w:sz w:val="24"/>
          <w:szCs w:val="24"/>
        </w:rPr>
        <w:t xml:space="preserve">predloženej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cenovej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ponuky</w:t>
      </w:r>
      <w:r>
        <w:rPr>
          <w:rFonts w:ascii="Times New Roman" w:hAnsi="Times New Roman" w:cs="Times New Roman"/>
          <w:bCs/>
          <w:sz w:val="24"/>
          <w:szCs w:val="24"/>
        </w:rPr>
        <w:t xml:space="preserve">.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tabs>
          <w:tab w:val="left" w:leader="none" w:pos="4962"/>
        </w:tabs>
        <w:spacing w:after="0"/>
        <w:ind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tabs>
          <w:tab w:val="left" w:leader="none" w:pos="4962"/>
        </w:tabs>
        <w:spacing w:after="0"/>
        <w:ind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Potvrdzujeme</w:t>
      </w:r>
      <w:r>
        <w:rPr>
          <w:rFonts w:ascii="Times New Roman" w:hAnsi="Times New Roman" w:cs="Times New Roman"/>
          <w:bCs/>
          <w:sz w:val="24"/>
          <w:szCs w:val="24"/>
        </w:rPr>
        <w:t xml:space="preserve"> že </w:t>
      </w:r>
      <w:r>
        <w:rPr>
          <w:rFonts w:ascii="Times New Roman" w:hAnsi="Times New Roman" w:cs="Times New Roman"/>
          <w:bCs/>
          <w:sz w:val="24"/>
          <w:szCs w:val="24"/>
        </w:rPr>
        <w:t xml:space="preserve">nami</w:t>
      </w:r>
      <w:r>
        <w:rPr>
          <w:rFonts w:ascii="Times New Roman" w:hAnsi="Times New Roman" w:cs="Times New Roman"/>
          <w:bCs/>
          <w:sz w:val="24"/>
          <w:szCs w:val="24"/>
        </w:rPr>
        <w:t xml:space="preserve"> vypracovaná cenová </w:t>
      </w:r>
      <w:r>
        <w:rPr>
          <w:rFonts w:ascii="Times New Roman" w:hAnsi="Times New Roman" w:cs="Times New Roman"/>
          <w:bCs/>
          <w:sz w:val="24"/>
          <w:szCs w:val="24"/>
        </w:rPr>
        <w:t xml:space="preserve">ponuka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zodpovedá</w:t>
      </w:r>
      <w:r>
        <w:rPr>
          <w:rFonts w:ascii="Times New Roman" w:hAnsi="Times New Roman" w:cs="Times New Roman"/>
          <w:bCs/>
          <w:sz w:val="24"/>
          <w:szCs w:val="24"/>
        </w:rPr>
        <w:t xml:space="preserve"> cenám obvyklým v </w:t>
      </w:r>
      <w:r>
        <w:rPr>
          <w:rFonts w:ascii="Times New Roman" w:hAnsi="Times New Roman" w:cs="Times New Roman"/>
          <w:bCs/>
          <w:sz w:val="24"/>
          <w:szCs w:val="24"/>
        </w:rPr>
        <w:t xml:space="preserve">danom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mieste</w:t>
      </w:r>
      <w:r>
        <w:rPr>
          <w:rFonts w:ascii="Times New Roman" w:hAnsi="Times New Roman" w:cs="Times New Roman"/>
          <w:bCs/>
          <w:sz w:val="24"/>
          <w:szCs w:val="24"/>
        </w:rPr>
        <w:t xml:space="preserve"> a čase. 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spacing w:after="0"/>
        <w:ind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spacing w:after="0"/>
        <w:ind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spacing w:after="0"/>
        <w:ind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 w14:paraId="00F46F9E">
      <w:pPr>
        <w:pBdr/>
        <w:spacing w:after="0"/>
        <w:ind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/>
        <w:ind/>
        <w:jc w:val="left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V ...................................., </w:t>
      </w:r>
      <w:r>
        <w:rPr>
          <w:rFonts w:ascii="Times New Roman" w:hAnsi="Times New Roman" w:cs="Times New Roman"/>
          <w:bCs/>
          <w:sz w:val="24"/>
          <w:szCs w:val="24"/>
        </w:rPr>
        <w:t xml:space="preserve">dňa</w:t>
      </w:r>
      <w:r>
        <w:rPr>
          <w:rFonts w:ascii="Times New Roman" w:hAnsi="Times New Roman" w:cs="Times New Roman"/>
          <w:bCs/>
          <w:sz w:val="24"/>
          <w:szCs w:val="24"/>
        </w:rPr>
        <w:t xml:space="preserve"> .....................</w:t>
        <w:tab/>
        <w:tab/>
        <w:tab/>
        <w:tab/>
      </w:r>
      <w:r>
        <w:rPr>
          <w:rFonts w:ascii="Times New Roman" w:hAnsi="Times New Roman" w:cs="Times New Roman"/>
          <w:bCs/>
          <w:sz w:val="24"/>
          <w:szCs w:val="24"/>
        </w:rPr>
        <w:t xml:space="preserve">.............................................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Bdr/>
        <w:tabs>
          <w:tab w:val="left" w:leader="none" w:pos="6378"/>
        </w:tabs>
        <w:spacing w:after="0"/>
        <w:ind w:right="0" w:firstLine="0" w:left="0"/>
        <w:jc w:val="left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bCs/>
          <w:sz w:val="24"/>
          <w:szCs w:val="24"/>
          <w:lang w:val="sk-SK"/>
        </w:rPr>
        <w:tab/>
        <w:t xml:space="preserve">Podpis a pečiatka uchádzača</w:t>
      </w:r>
      <w:r>
        <w:rPr>
          <w:rFonts w:ascii="Times New Roman" w:hAnsi="Times New Roman" w:cs="Times New Roman"/>
          <w:sz w:val="24"/>
          <w:szCs w:val="24"/>
          <w:lang w:val="sk-SK"/>
        </w:rPr>
      </w:r>
      <w:r>
        <w:rPr>
          <w:rFonts w:ascii="Times New Roman" w:hAnsi="Times New Roman" w:cs="Times New Roman"/>
          <w:sz w:val="24"/>
          <w:szCs w:val="24"/>
          <w:lang w:val="sk-SK"/>
        </w:rPr>
      </w:r>
    </w:p>
    <w:sectPr>
      <w:headerReference w:type="default" r:id="rId9"/>
      <w:footerReference w:type="default" r:id="rId10"/>
      <w:footnotePr/>
      <w:endnotePr/>
      <w:type w:val="nextPage"/>
      <w:pgSz w:h="16838" w:orient="portrait" w:w="11906"/>
      <w:pgMar w:top="1440" w:right="1080" w:bottom="1440" w:left="1080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</w:font>
  <w:font w:name="Wingdings">
    <w:panose1 w:val="05000000000000000000"/>
  </w:font>
  <w:font w:name="Courier New">
    <w:panose1 w:val="02070309020205020404"/>
  </w:font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513967106"/>
      <w:docPartObj>
        <w:docPartGallery w:val="Page Numbers (Bottom of Page)"/>
        <w:docPartUnique w:val="true"/>
      </w:docPartObj>
      <w:rPr/>
    </w:sdtPr>
    <w:sdtContent>
      <w:p>
        <w:pPr>
          <w:pStyle w:val="969"/>
          <w:pBdr/>
          <w:spacing/>
          <w:ind/>
          <w:jc w:val="right"/>
          <w:rPr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sk-SK"/>
          </w:rPr>
          <w:t xml:space="preserve">1</w:t>
        </w:r>
        <w:r>
          <w:fldChar w:fldCharType="end"/>
        </w:r>
        <w:r/>
      </w:p>
    </w:sdtContent>
  </w:sdt>
  <w:p>
    <w:pPr>
      <w:pStyle w:val="969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7"/>
      <w:pBdr/>
      <w:spacing/>
      <w:ind/>
      <w:jc w:val="right"/>
      <w:rPr>
        <w:rFonts w:ascii="Times New Roman" w:hAnsi="Times New Roman" w:cs="Times New Roman"/>
        <w:lang w:val="sk-SK"/>
      </w:rPr>
    </w:pPr>
    <w:r>
      <w:rPr>
        <w:rFonts w:ascii="Times New Roman" w:hAnsi="Times New Roman" w:cs="Times New Roman"/>
      </w:rPr>
      <w:t xml:space="preserve">Príloha</w:t>
    </w:r>
    <w:r>
      <w:rPr>
        <w:rFonts w:ascii="Times New Roman" w:hAnsi="Times New Roman" w:cs="Times New Roman"/>
      </w:rPr>
      <w:t xml:space="preserve"> č. </w:t>
    </w:r>
    <w:r>
      <w:rPr>
        <w:rFonts w:ascii="Times New Roman" w:hAnsi="Times New Roman" w:cs="Times New Roman"/>
        <w:lang w:val="sk-SK"/>
      </w:rPr>
      <w:t xml:space="preserve">1 </w:t>
    </w:r>
    <w:r>
      <w:rPr>
        <w:rFonts w:ascii="Times New Roman" w:hAnsi="Times New Roman" w:cs="Times New Roman"/>
      </w:rPr>
      <w:t xml:space="preserve"> Výzvy na </w:t>
    </w:r>
    <w:r>
      <w:rPr>
        <w:rFonts w:ascii="Times New Roman" w:hAnsi="Times New Roman" w:cs="Times New Roman"/>
      </w:rPr>
      <w:t xml:space="preserve">predloženie</w:t>
    </w:r>
    <w:r>
      <w:rPr>
        <w:rFonts w:ascii="Times New Roman" w:hAnsi="Times New Roman" w:cs="Times New Roman"/>
      </w:rPr>
      <w:t xml:space="preserve"> </w:t>
    </w:r>
    <w:r>
      <w:rPr>
        <w:rFonts w:ascii="Times New Roman" w:hAnsi="Times New Roman" w:cs="Times New Roman"/>
      </w:rPr>
      <w:t xml:space="preserve">ponúk</w:t>
    </w:r>
    <w:r>
      <w:rPr>
        <w:rFonts w:ascii="Times New Roman" w:hAnsi="Times New Roman" w:cs="Times New Roman"/>
      </w:rPr>
      <w:t xml:space="preserve"> </w:t>
    </w:r>
    <w:r>
      <w:rPr>
        <w:rFonts w:ascii="Times New Roman" w:hAnsi="Times New Roman" w:cs="Times New Roman"/>
        <w:lang w:val="sk-SK"/>
      </w:rPr>
    </w:r>
    <w:r>
      <w:rPr>
        <w:rFonts w:ascii="Times New Roman" w:hAnsi="Times New Roman" w:cs="Times New Roman"/>
        <w:lang w:val="sk-SK"/>
      </w:rPr>
    </w:r>
  </w:p>
  <w:p>
    <w:pPr>
      <w:pStyle w:val="967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D6ED1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nsid w:val="01036F9D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nsid w:val="1903430D"/>
    <w:lvl w:ilvl="0">
      <w:isLgl w:val="false"/>
      <w:lvlJc w:val="left"/>
      <w:lvlText w:val="‐"/>
      <w:numFmt w:val="bullet"/>
      <w:pPr>
        <w:pBdr/>
        <w:spacing/>
        <w:ind w:hanging="360" w:left="720"/>
      </w:pPr>
      <w:rPr>
        <w:rFonts w:hint="default" w:ascii="Trebuchet MS" w:hAnsi="Trebuchet M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">
    <w:nsid w:val="24323C5D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nsid w:val="254D23BE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">
    <w:nsid w:val="30DC27DD"/>
    <w:lvl w:ilvl="0">
      <w:isLgl w:val="false"/>
      <w:lvlJc w:val="left"/>
      <w:lvlText w:val="%1."/>
      <w:numFmt w:val="decimal"/>
      <w:pPr>
        <w:pBdr/>
        <w:spacing/>
        <w:ind w:hanging="360" w:left="394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11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3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5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7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9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71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3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54"/>
      </w:pPr>
      <w:rPr/>
      <w:start w:val="1"/>
      <w:suff w:val="tab"/>
    </w:lvl>
  </w:abstractNum>
  <w:abstractNum w:abstractNumId="6">
    <w:nsid w:val="38C04E35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Arial" w:hAnsi="Arial" w:cs="Arial" w:eastAsiaTheme="minorHAnsi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7">
    <w:nsid w:val="3AE649D8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8">
    <w:nsid w:val="3D4115E0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 w:cs="Times New Roman"/>
      </w:rPr>
      <w:start w:val="16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9">
    <w:nsid w:val="42200052"/>
    <w:lvl w:ilvl="0">
      <w:isLgl w:val="false"/>
      <w:lvlJc w:val="left"/>
      <w:lvlText w:val="%1."/>
      <w:numFmt w:val="decimal"/>
      <w:pPr>
        <w:pBdr/>
        <w:spacing/>
        <w:ind w:hanging="360" w:left="394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11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3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5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7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9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71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3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54"/>
      </w:pPr>
      <w:rPr/>
      <w:start w:val="1"/>
      <w:suff w:val="tab"/>
    </w:lvl>
  </w:abstractNum>
  <w:abstractNum w:abstractNumId="10">
    <w:nsid w:val="4CBE4B10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Arial" w:hAnsi="Arial" w:cs="Arial" w:eastAsiaTheme="minorHAnsi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1">
    <w:nsid w:val="4CE771AF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  <w:sz w:val="24"/>
        <w:szCs w:val="24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2">
    <w:nsid w:val="56CC1037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3">
    <w:nsid w:val="6D5A7295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4">
    <w:nsid w:val="77F84A39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6"/>
  </w:num>
  <w:num w:numId="2">
    <w:abstractNumId w:val="10"/>
  </w:num>
  <w:num w:numId="3">
    <w:abstractNumId w:val="1"/>
  </w:num>
  <w:num w:numId="4">
    <w:abstractNumId w:val="2"/>
  </w:num>
  <w:num w:numId="5">
    <w:abstractNumId w:val="12"/>
  </w:num>
  <w:num w:numId="6">
    <w:abstractNumId w:val="0"/>
  </w:num>
  <w:num w:numId="7">
    <w:abstractNumId w:val="7"/>
  </w:num>
  <w:num w:numId="8">
    <w:abstractNumId w:val="13"/>
  </w:num>
  <w:num w:numId="9">
    <w:abstractNumId w:val="3"/>
  </w:num>
  <w:num w:numId="10">
    <w:abstractNumId w:val="14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9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cs-CZ" w:eastAsia="cs-CZ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80">
    <w:name w:val="Table Grid Light"/>
    <w:basedOn w:val="96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Plain Table 1"/>
    <w:basedOn w:val="96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Plain Table 2"/>
    <w:basedOn w:val="96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Plain Table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Plain Table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Plain Table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1 Light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1 Light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1 Light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1 Light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1 Light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1 Light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1 Light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2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2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2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2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2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2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3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3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3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3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3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3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4"/>
    <w:basedOn w:val="9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4 - Accent 1"/>
    <w:basedOn w:val="9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4 - Accent 2"/>
    <w:basedOn w:val="9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4 - Accent 3"/>
    <w:basedOn w:val="9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4 - Accent 4"/>
    <w:basedOn w:val="9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4 - Accent 5"/>
    <w:basedOn w:val="9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4 - Accent 6"/>
    <w:basedOn w:val="9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5 Dark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5 Dark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5 Dark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5 Dark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5 Dark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5 Dark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5 Dark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6 Colorful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6 Colorful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6 Colorful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6 Colorful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6 Colorful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6 Colorful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6 Colorful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7 Colorful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7 Colorful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7 Colorful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7 Colorful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Grid Table 7 Colorful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Grid Table 7 Colorful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Grid Table 7 Colorful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1 Light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1 Light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1 Light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1 Light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1 Light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1 Light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1 Light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2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2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2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2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2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2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3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3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3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3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3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3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4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4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4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4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4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4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5 Dark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5 Dark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5 Dark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5 Dark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5 Dark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5 Dark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5 Dark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6 Colorful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6 Colorful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6 Colorful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6 Colorful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6 Colorful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6 Colorful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6 Colorful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7 Colorful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7 Colorful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st Table 7 Colorful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7 Colorful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st Table 7 Colorful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st Table 7 Colorful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st Table 7 Colorful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ned - Accent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ned - Accent 1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ned - Accent 2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ned - Accent 3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Lined - Accent 4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Lined - Accent 5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Lined - Accent 6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Bordered &amp; Lined - Accent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Bordered &amp; Lined - Accent 1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Bordered &amp; Lined - Accent 2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Bordered &amp; Lined - Accent 3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Bordered &amp; Lined - Accent 4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Bordered &amp; Lined - Accent 5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Bordered &amp; Lined - Accent 6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Bordered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Bordered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Bordered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Bordered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Bordered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Bordered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Bordered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05">
    <w:name w:val="Heading 1"/>
    <w:basedOn w:val="962"/>
    <w:next w:val="962"/>
    <w:link w:val="914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906">
    <w:name w:val="Heading 2"/>
    <w:basedOn w:val="962"/>
    <w:next w:val="962"/>
    <w:link w:val="915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907">
    <w:name w:val="Heading 3"/>
    <w:basedOn w:val="962"/>
    <w:next w:val="962"/>
    <w:link w:val="916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908">
    <w:name w:val="Heading 4"/>
    <w:basedOn w:val="962"/>
    <w:next w:val="962"/>
    <w:link w:val="917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909">
    <w:name w:val="Heading 5"/>
    <w:basedOn w:val="962"/>
    <w:next w:val="962"/>
    <w:link w:val="918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910">
    <w:name w:val="Heading 6"/>
    <w:basedOn w:val="962"/>
    <w:next w:val="962"/>
    <w:link w:val="919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911">
    <w:name w:val="Heading 7"/>
    <w:basedOn w:val="962"/>
    <w:next w:val="962"/>
    <w:link w:val="920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912">
    <w:name w:val="Heading 8"/>
    <w:basedOn w:val="962"/>
    <w:next w:val="962"/>
    <w:link w:val="921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13">
    <w:name w:val="Heading 9"/>
    <w:basedOn w:val="962"/>
    <w:next w:val="962"/>
    <w:link w:val="922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14">
    <w:name w:val="Heading 1 Char"/>
    <w:basedOn w:val="963"/>
    <w:link w:val="90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915">
    <w:name w:val="Heading 2 Char"/>
    <w:basedOn w:val="963"/>
    <w:link w:val="90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916">
    <w:name w:val="Heading 3 Char"/>
    <w:basedOn w:val="963"/>
    <w:link w:val="90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917">
    <w:name w:val="Heading 4 Char"/>
    <w:basedOn w:val="963"/>
    <w:link w:val="908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918">
    <w:name w:val="Heading 5 Char"/>
    <w:basedOn w:val="963"/>
    <w:link w:val="90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919">
    <w:name w:val="Heading 6 Char"/>
    <w:basedOn w:val="963"/>
    <w:link w:val="91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20">
    <w:name w:val="Heading 7 Char"/>
    <w:basedOn w:val="963"/>
    <w:link w:val="91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21">
    <w:name w:val="Heading 8 Char"/>
    <w:basedOn w:val="963"/>
    <w:link w:val="91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22">
    <w:name w:val="Heading 9 Char"/>
    <w:basedOn w:val="963"/>
    <w:link w:val="91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23">
    <w:name w:val="Title"/>
    <w:basedOn w:val="962"/>
    <w:next w:val="962"/>
    <w:link w:val="924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24">
    <w:name w:val="Title Char"/>
    <w:basedOn w:val="963"/>
    <w:link w:val="923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25">
    <w:name w:val="Subtitle"/>
    <w:basedOn w:val="962"/>
    <w:next w:val="962"/>
    <w:link w:val="926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26">
    <w:name w:val="Subtitle Char"/>
    <w:basedOn w:val="963"/>
    <w:link w:val="925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27">
    <w:name w:val="Quote"/>
    <w:basedOn w:val="962"/>
    <w:next w:val="962"/>
    <w:link w:val="928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28">
    <w:name w:val="Quote Char"/>
    <w:basedOn w:val="963"/>
    <w:link w:val="927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929">
    <w:name w:val="Intense Emphasis"/>
    <w:basedOn w:val="96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30">
    <w:name w:val="Intense Quote"/>
    <w:basedOn w:val="962"/>
    <w:next w:val="962"/>
    <w:link w:val="931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31">
    <w:name w:val="Intense Quote Char"/>
    <w:basedOn w:val="963"/>
    <w:link w:val="930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32">
    <w:name w:val="Intense Reference"/>
    <w:basedOn w:val="96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33">
    <w:name w:val="No Spacing"/>
    <w:basedOn w:val="962"/>
    <w:uiPriority w:val="1"/>
    <w:qFormat/>
    <w:pPr>
      <w:pBdr/>
      <w:spacing w:after="0" w:line="240" w:lineRule="auto"/>
      <w:ind/>
    </w:pPr>
  </w:style>
  <w:style w:type="character" w:styleId="934">
    <w:name w:val="Subtle Emphasis"/>
    <w:basedOn w:val="96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35">
    <w:name w:val="Emphasis"/>
    <w:basedOn w:val="963"/>
    <w:uiPriority w:val="20"/>
    <w:qFormat/>
    <w:pPr>
      <w:pBdr/>
      <w:spacing/>
      <w:ind/>
    </w:pPr>
    <w:rPr>
      <w:i/>
      <w:iCs/>
    </w:rPr>
  </w:style>
  <w:style w:type="character" w:styleId="936">
    <w:name w:val="Strong"/>
    <w:basedOn w:val="963"/>
    <w:uiPriority w:val="22"/>
    <w:qFormat/>
    <w:pPr>
      <w:pBdr/>
      <w:spacing/>
      <w:ind/>
    </w:pPr>
    <w:rPr>
      <w:b/>
      <w:bCs/>
    </w:rPr>
  </w:style>
  <w:style w:type="character" w:styleId="937">
    <w:name w:val="Subtle Reference"/>
    <w:basedOn w:val="96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38">
    <w:name w:val="Book Title"/>
    <w:basedOn w:val="963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939">
    <w:name w:val="Header Char"/>
    <w:basedOn w:val="963"/>
    <w:link w:val="967"/>
    <w:uiPriority w:val="99"/>
    <w:pPr>
      <w:pBdr/>
      <w:spacing/>
      <w:ind/>
    </w:pPr>
  </w:style>
  <w:style w:type="character" w:styleId="940">
    <w:name w:val="Footer Char"/>
    <w:basedOn w:val="963"/>
    <w:link w:val="969"/>
    <w:uiPriority w:val="99"/>
    <w:pPr>
      <w:pBdr/>
      <w:spacing/>
      <w:ind/>
    </w:pPr>
  </w:style>
  <w:style w:type="paragraph" w:styleId="941">
    <w:name w:val="Caption"/>
    <w:basedOn w:val="962"/>
    <w:next w:val="962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42">
    <w:name w:val="footnote text"/>
    <w:basedOn w:val="962"/>
    <w:link w:val="943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43">
    <w:name w:val="Footnote Text Char"/>
    <w:basedOn w:val="963"/>
    <w:link w:val="942"/>
    <w:uiPriority w:val="99"/>
    <w:semiHidden/>
    <w:pPr>
      <w:pBdr/>
      <w:spacing/>
      <w:ind/>
    </w:pPr>
    <w:rPr>
      <w:sz w:val="20"/>
      <w:szCs w:val="20"/>
    </w:rPr>
  </w:style>
  <w:style w:type="character" w:styleId="944">
    <w:name w:val="footnote reference"/>
    <w:basedOn w:val="963"/>
    <w:uiPriority w:val="99"/>
    <w:semiHidden/>
    <w:unhideWhenUsed/>
    <w:pPr>
      <w:pBdr/>
      <w:spacing/>
      <w:ind/>
    </w:pPr>
    <w:rPr>
      <w:vertAlign w:val="superscript"/>
    </w:rPr>
  </w:style>
  <w:style w:type="paragraph" w:styleId="945">
    <w:name w:val="endnote text"/>
    <w:basedOn w:val="962"/>
    <w:link w:val="946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46">
    <w:name w:val="Endnote Text Char"/>
    <w:basedOn w:val="963"/>
    <w:link w:val="945"/>
    <w:uiPriority w:val="99"/>
    <w:semiHidden/>
    <w:pPr>
      <w:pBdr/>
      <w:spacing/>
      <w:ind/>
    </w:pPr>
    <w:rPr>
      <w:sz w:val="20"/>
      <w:szCs w:val="20"/>
    </w:rPr>
  </w:style>
  <w:style w:type="character" w:styleId="947">
    <w:name w:val="endnote reference"/>
    <w:basedOn w:val="963"/>
    <w:uiPriority w:val="99"/>
    <w:semiHidden/>
    <w:unhideWhenUsed/>
    <w:pPr>
      <w:pBdr/>
      <w:spacing/>
      <w:ind/>
    </w:pPr>
    <w:rPr>
      <w:vertAlign w:val="superscript"/>
    </w:rPr>
  </w:style>
  <w:style w:type="character" w:styleId="948">
    <w:name w:val="Hyperlink"/>
    <w:basedOn w:val="963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49">
    <w:name w:val="FollowedHyperlink"/>
    <w:basedOn w:val="96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50">
    <w:name w:val="toc 1"/>
    <w:basedOn w:val="962"/>
    <w:next w:val="962"/>
    <w:uiPriority w:val="39"/>
    <w:unhideWhenUsed/>
    <w:pPr>
      <w:pBdr/>
      <w:spacing w:after="100"/>
      <w:ind/>
    </w:pPr>
  </w:style>
  <w:style w:type="paragraph" w:styleId="951">
    <w:name w:val="toc 2"/>
    <w:basedOn w:val="962"/>
    <w:next w:val="962"/>
    <w:uiPriority w:val="39"/>
    <w:unhideWhenUsed/>
    <w:pPr>
      <w:pBdr/>
      <w:spacing w:after="100"/>
      <w:ind w:left="220"/>
    </w:pPr>
  </w:style>
  <w:style w:type="paragraph" w:styleId="952">
    <w:name w:val="toc 3"/>
    <w:basedOn w:val="962"/>
    <w:next w:val="962"/>
    <w:uiPriority w:val="39"/>
    <w:unhideWhenUsed/>
    <w:pPr>
      <w:pBdr/>
      <w:spacing w:after="100"/>
      <w:ind w:left="440"/>
    </w:pPr>
  </w:style>
  <w:style w:type="paragraph" w:styleId="953">
    <w:name w:val="toc 4"/>
    <w:basedOn w:val="962"/>
    <w:next w:val="962"/>
    <w:uiPriority w:val="39"/>
    <w:unhideWhenUsed/>
    <w:pPr>
      <w:pBdr/>
      <w:spacing w:after="100"/>
      <w:ind w:left="660"/>
    </w:pPr>
  </w:style>
  <w:style w:type="paragraph" w:styleId="954">
    <w:name w:val="toc 5"/>
    <w:basedOn w:val="962"/>
    <w:next w:val="962"/>
    <w:uiPriority w:val="39"/>
    <w:unhideWhenUsed/>
    <w:pPr>
      <w:pBdr/>
      <w:spacing w:after="100"/>
      <w:ind w:left="880"/>
    </w:pPr>
  </w:style>
  <w:style w:type="paragraph" w:styleId="955">
    <w:name w:val="toc 6"/>
    <w:basedOn w:val="962"/>
    <w:next w:val="962"/>
    <w:uiPriority w:val="39"/>
    <w:unhideWhenUsed/>
    <w:pPr>
      <w:pBdr/>
      <w:spacing w:after="100"/>
      <w:ind w:left="1100"/>
    </w:pPr>
  </w:style>
  <w:style w:type="paragraph" w:styleId="956">
    <w:name w:val="toc 7"/>
    <w:basedOn w:val="962"/>
    <w:next w:val="962"/>
    <w:uiPriority w:val="39"/>
    <w:unhideWhenUsed/>
    <w:pPr>
      <w:pBdr/>
      <w:spacing w:after="100"/>
      <w:ind w:left="1320"/>
    </w:pPr>
  </w:style>
  <w:style w:type="paragraph" w:styleId="957">
    <w:name w:val="toc 8"/>
    <w:basedOn w:val="962"/>
    <w:next w:val="962"/>
    <w:uiPriority w:val="39"/>
    <w:unhideWhenUsed/>
    <w:pPr>
      <w:pBdr/>
      <w:spacing w:after="100"/>
      <w:ind w:left="1540"/>
    </w:pPr>
  </w:style>
  <w:style w:type="paragraph" w:styleId="958">
    <w:name w:val="toc 9"/>
    <w:basedOn w:val="962"/>
    <w:next w:val="962"/>
    <w:uiPriority w:val="39"/>
    <w:unhideWhenUsed/>
    <w:pPr>
      <w:pBdr/>
      <w:spacing w:after="100"/>
      <w:ind w:left="1760"/>
    </w:pPr>
  </w:style>
  <w:style w:type="character" w:styleId="959">
    <w:name w:val="Placeholder Text"/>
    <w:basedOn w:val="963"/>
    <w:uiPriority w:val="99"/>
    <w:semiHidden/>
    <w:pPr>
      <w:pBdr/>
      <w:spacing/>
      <w:ind/>
    </w:pPr>
    <w:rPr>
      <w:color w:val="666666"/>
    </w:rPr>
  </w:style>
  <w:style w:type="paragraph" w:styleId="960">
    <w:name w:val="TOC Heading"/>
    <w:uiPriority w:val="39"/>
    <w:unhideWhenUsed/>
    <w:pPr>
      <w:pBdr/>
      <w:spacing/>
      <w:ind/>
    </w:pPr>
  </w:style>
  <w:style w:type="paragraph" w:styleId="961">
    <w:name w:val="table of figures"/>
    <w:basedOn w:val="962"/>
    <w:next w:val="962"/>
    <w:uiPriority w:val="99"/>
    <w:unhideWhenUsed/>
    <w:pPr>
      <w:pBdr/>
      <w:spacing w:after="0" w:afterAutospacing="0"/>
      <w:ind/>
    </w:pPr>
  </w:style>
  <w:style w:type="paragraph" w:styleId="962" w:default="1">
    <w:name w:val="Normal"/>
    <w:qFormat/>
    <w:pPr>
      <w:pBdr/>
      <w:spacing/>
      <w:ind/>
    </w:pPr>
  </w:style>
  <w:style w:type="character" w:styleId="963" w:default="1">
    <w:name w:val="Default Paragraph Font"/>
    <w:uiPriority w:val="1"/>
    <w:semiHidden/>
    <w:unhideWhenUsed/>
    <w:pPr>
      <w:pBdr/>
      <w:spacing/>
      <w:ind/>
    </w:pPr>
  </w:style>
  <w:style w:type="table" w:styleId="964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65" w:default="1">
    <w:name w:val="No List"/>
    <w:uiPriority w:val="99"/>
    <w:semiHidden/>
    <w:unhideWhenUsed/>
    <w:pPr>
      <w:pBdr/>
      <w:spacing/>
      <w:ind/>
    </w:pPr>
  </w:style>
  <w:style w:type="paragraph" w:styleId="966">
    <w:name w:val="List Paragraph"/>
    <w:basedOn w:val="962"/>
    <w:uiPriority w:val="34"/>
    <w:qFormat/>
    <w:pPr>
      <w:pBdr/>
      <w:spacing/>
      <w:ind w:left="720"/>
      <w:contextualSpacing w:val="true"/>
    </w:pPr>
  </w:style>
  <w:style w:type="paragraph" w:styleId="967">
    <w:name w:val="Header"/>
    <w:basedOn w:val="962"/>
    <w:link w:val="968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968" w:customStyle="1">
    <w:name w:val="Hlavička Char"/>
    <w:basedOn w:val="963"/>
    <w:link w:val="967"/>
    <w:uiPriority w:val="99"/>
    <w:pPr>
      <w:pBdr/>
      <w:spacing/>
      <w:ind/>
    </w:pPr>
  </w:style>
  <w:style w:type="paragraph" w:styleId="969">
    <w:name w:val="Footer"/>
    <w:basedOn w:val="962"/>
    <w:link w:val="970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970" w:customStyle="1">
    <w:name w:val="Päta Char"/>
    <w:basedOn w:val="963"/>
    <w:link w:val="969"/>
    <w:uiPriority w:val="99"/>
    <w:pPr>
      <w:pBdr/>
      <w:spacing/>
      <w:ind/>
    </w:pPr>
  </w:style>
  <w:style w:type="table" w:styleId="971">
    <w:name w:val="Table Grid"/>
    <w:basedOn w:val="964"/>
    <w:uiPriority w:val="59"/>
    <w:pPr>
      <w:pBdr/>
      <w:spacing w:after="0" w:line="240" w:lineRule="auto"/>
      <w:ind/>
    </w:pPr>
    <w:rPr>
      <w:rFonts w:eastAsiaTheme="minorHAnsi"/>
      <w:lang w:val="sk-SK" w:eastAsia="en-US"/>
    </w:r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 w:customStyle="1">
    <w:name w:val="Mriežka tabuľky1"/>
    <w:basedOn w:val="964"/>
    <w:next w:val="971"/>
    <w:uiPriority w:val="59"/>
    <w:pPr>
      <w:pBdr/>
      <w:spacing w:after="0" w:line="240" w:lineRule="auto"/>
      <w:ind/>
    </w:pPr>
    <w:rPr>
      <w:rFonts w:eastAsiaTheme="minorHAnsi"/>
      <w:lang w:eastAsia="en-US"/>
    </w:r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73">
    <w:name w:val="annotation text"/>
    <w:basedOn w:val="962"/>
    <w:link w:val="974"/>
    <w:uiPriority w:val="99"/>
    <w:semiHidden/>
    <w:unhideWhenUsed/>
    <w:pPr>
      <w:widowControl w:val="false"/>
      <w:pBdr/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val="en-GB" w:eastAsia="en-GB"/>
    </w:rPr>
  </w:style>
  <w:style w:type="character" w:styleId="974" w:customStyle="1">
    <w:name w:val="Text komentára Char"/>
    <w:basedOn w:val="963"/>
    <w:link w:val="973"/>
    <w:uiPriority w:val="99"/>
    <w:semiHidden/>
    <w:pPr>
      <w:pBdr/>
      <w:spacing/>
      <w:ind/>
    </w:pPr>
    <w:rPr>
      <w:rFonts w:ascii="Times New Roman" w:hAnsi="Times New Roman" w:eastAsia="Times New Roman" w:cs="Times New Roman"/>
      <w:sz w:val="20"/>
      <w:szCs w:val="20"/>
      <w:lang w:val="en-GB" w:eastAsia="en-GB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E674978B-76A1-4797-87BB-40338FD3D748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ONLYOFFICE/9.3.1.8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revision>163</cp:revision>
  <dcterms:created xsi:type="dcterms:W3CDTF">2016-02-11T10:46:00Z</dcterms:created>
  <dcterms:modified xsi:type="dcterms:W3CDTF">2026-03-27T15:19:49Z</dcterms:modified>
</cp:coreProperties>
</file>