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0A7DBDFA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895E51" w:rsidRPr="00FD764B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https://josephine.proebiz.com/sk/tender/7694/summary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088ED62F" w14:textId="5842BF9F" w:rsidR="00895E51" w:rsidRDefault="007F7679" w:rsidP="00895E51">
      <w:pPr>
        <w:widowControl w:val="0"/>
        <w:autoSpaceDE w:val="0"/>
        <w:autoSpaceDN w:val="0"/>
        <w:spacing w:after="0"/>
        <w:ind w:left="624" w:hanging="57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B24CAF">
        <w:rPr>
          <w:rFonts w:cstheme="minorHAnsi"/>
        </w:rPr>
        <w:t>O</w:t>
      </w:r>
      <w:r w:rsidR="00B24CAF" w:rsidRPr="00AE190C">
        <w:rPr>
          <w:rFonts w:cstheme="minorHAnsi"/>
        </w:rPr>
        <w:t>pravy</w:t>
      </w:r>
      <w:r w:rsidR="00B24CAF">
        <w:rPr>
          <w:rFonts w:cstheme="minorHAnsi"/>
        </w:rPr>
        <w:t>,</w:t>
      </w:r>
      <w:r w:rsidR="00B24CAF" w:rsidRPr="00AE190C">
        <w:rPr>
          <w:rFonts w:cstheme="minorHAnsi"/>
        </w:rPr>
        <w:t xml:space="preserve"> </w:t>
      </w:r>
      <w:r w:rsidR="00B24CAF">
        <w:rPr>
          <w:rFonts w:cstheme="minorHAnsi"/>
        </w:rPr>
        <w:t>s</w:t>
      </w:r>
      <w:r w:rsidR="00895E51" w:rsidRPr="00AE190C">
        <w:rPr>
          <w:rFonts w:cstheme="minorHAnsi"/>
        </w:rPr>
        <w:t>ervis, dodávka pásov a náhradných dielov pre dopravné pásy</w:t>
      </w:r>
      <w:r>
        <w:rPr>
          <w:rFonts w:ascii="Calibri" w:eastAsia="Arial" w:hAnsi="Calibri" w:cs="Calibri"/>
          <w:lang w:val="sk" w:eastAsia="sk"/>
        </w:rPr>
        <w:t xml:space="preserve">              </w:t>
      </w:r>
    </w:p>
    <w:p w14:paraId="34D9E814" w14:textId="77777777" w:rsidR="00895E51" w:rsidRDefault="00895E51" w:rsidP="00895E51">
      <w:pPr>
        <w:widowControl w:val="0"/>
        <w:autoSpaceDE w:val="0"/>
        <w:autoSpaceDN w:val="0"/>
        <w:spacing w:after="0"/>
        <w:ind w:left="624" w:hanging="57"/>
        <w:jc w:val="both"/>
        <w:rPr>
          <w:rFonts w:ascii="Calibri" w:eastAsia="Arial" w:hAnsi="Calibri" w:cs="Calibri"/>
          <w:lang w:val="sk" w:eastAsia="sk"/>
        </w:rPr>
      </w:pPr>
    </w:p>
    <w:p w14:paraId="5AD5A01F" w14:textId="6BFA0DDE" w:rsidR="00895E51" w:rsidRDefault="001E604B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4D2D33">
        <w:t xml:space="preserve"> </w:t>
      </w:r>
      <w:r w:rsidR="00895E51" w:rsidRPr="00F05AD0">
        <w:rPr>
          <w:rFonts w:cstheme="minorHAnsi"/>
        </w:rPr>
        <w:t>42417310-8 Dopravníkové pásy, 44425300-8 Gumené pásy , 42419810-7 Časti pásových dopravníkov,</w:t>
      </w:r>
      <w:r w:rsidR="00D22C98">
        <w:rPr>
          <w:rFonts w:cstheme="minorHAnsi"/>
        </w:rPr>
        <w:t xml:space="preserve"> </w:t>
      </w:r>
      <w:r w:rsidR="00895E51" w:rsidRPr="00F05AD0">
        <w:rPr>
          <w:rFonts w:cstheme="minorHAnsi"/>
        </w:rPr>
        <w:t xml:space="preserve">19513000-5 Pogumované textílie, 45255400-3 Montážne práce , 45111300-1 Demontážne práce, </w:t>
      </w:r>
      <w:r w:rsidR="00FC3BFE">
        <w:t xml:space="preserve">45259000-7 Opravy a údržba zariadenia, </w:t>
      </w:r>
      <w:r w:rsidR="00895E51" w:rsidRPr="00F05AD0">
        <w:rPr>
          <w:rFonts w:cstheme="minorHAnsi"/>
        </w:rPr>
        <w:t>51511400-1 Inštalácia špeciálnych dopravných systémov , 60000000-8 Dopravné služby (bez prepravy odpadu) 90500000-2 ,Služby súvisiace s likvidáciou odpadu a odpadom</w:t>
      </w:r>
    </w:p>
    <w:p w14:paraId="6949D576" w14:textId="2AD81E09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</w:t>
      </w:r>
      <w:r w:rsidR="00FC3BFE">
        <w:rPr>
          <w:rFonts w:ascii="Calibri" w:eastAsia="Arial" w:hAnsi="Calibri" w:cs="Calibri"/>
          <w:bCs/>
          <w:lang w:eastAsia="sk"/>
        </w:rPr>
        <w:t>tovar,</w:t>
      </w:r>
      <w:r w:rsidR="00BA0126">
        <w:rPr>
          <w:rFonts w:ascii="Calibri" w:eastAsia="Arial" w:hAnsi="Calibri" w:cs="Calibri"/>
          <w:bCs/>
          <w:lang w:eastAsia="sk"/>
        </w:rPr>
        <w:t xml:space="preserve"> </w:t>
      </w:r>
      <w:r w:rsidR="00037FCA">
        <w:rPr>
          <w:rFonts w:ascii="Calibri" w:eastAsia="Arial" w:hAnsi="Calibri" w:cs="Calibri"/>
          <w:bCs/>
          <w:lang w:eastAsia="sk"/>
        </w:rPr>
        <w:t>práca</w:t>
      </w:r>
      <w:r w:rsidR="00DF6AD0">
        <w:rPr>
          <w:rFonts w:ascii="Calibri" w:eastAsia="Arial" w:hAnsi="Calibri" w:cs="Calibri"/>
          <w:bCs/>
          <w:lang w:eastAsia="sk"/>
        </w:rPr>
        <w:t>,</w:t>
      </w:r>
      <w:r>
        <w:rPr>
          <w:rFonts w:ascii="Calibri" w:eastAsia="Arial" w:hAnsi="Calibri" w:cs="Calibri"/>
          <w:bCs/>
          <w:lang w:eastAsia="sk"/>
        </w:rPr>
        <w:t xml:space="preserve"> </w:t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5458C340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   </w:t>
      </w:r>
    </w:p>
    <w:p w14:paraId="6B53FF74" w14:textId="45F07DAD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                             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06719E61" w:rsidR="0065567A" w:rsidRPr="0065567A" w:rsidRDefault="00895E51" w:rsidP="0065567A">
      <w:pPr>
        <w:pStyle w:val="Odsekzoznamu"/>
        <w:widowControl w:val="0"/>
        <w:autoSpaceDE w:val="0"/>
        <w:autoSpaceDN w:val="0"/>
        <w:ind w:left="340"/>
        <w:jc w:val="both"/>
        <w:rPr>
          <w:rFonts w:cstheme="minorHAnsi"/>
          <w:b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Predmetom zákazky je obnova opotrebovaných pásov dopravníkov v ZEVO, dodávka s montážou a dodávka na sklad, opravy dopravníkových pásov na 18 mesiacov.</w:t>
      </w:r>
      <w:r w:rsidRPr="0065567A">
        <w:rPr>
          <w:rFonts w:cstheme="minorHAnsi"/>
          <w:b/>
        </w:rPr>
        <w:t xml:space="preserve"> </w:t>
      </w:r>
      <w:r w:rsidR="005975F4" w:rsidRPr="0065567A">
        <w:rPr>
          <w:rFonts w:cstheme="minorHAnsi"/>
          <w:b/>
        </w:rPr>
        <w:t>Presná technická špecifikácia uvedená v Prílohe č. 1 v</w:t>
      </w:r>
      <w:r w:rsidR="00F05AD0">
        <w:rPr>
          <w:rFonts w:cstheme="minorHAnsi"/>
          <w:b/>
        </w:rPr>
        <w:t>ý</w:t>
      </w:r>
      <w:r>
        <w:rPr>
          <w:rFonts w:cstheme="minorHAnsi"/>
          <w:b/>
        </w:rPr>
        <w:t>zvy</w:t>
      </w:r>
      <w:r w:rsidR="005975F4" w:rsidRPr="0065567A">
        <w:rPr>
          <w:rFonts w:cstheme="minorHAnsi"/>
          <w:b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79B841E6" w:rsidR="00C535B8" w:rsidRPr="00F75109" w:rsidRDefault="00F75109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="00895E51">
        <w:rPr>
          <w:rFonts w:ascii="Calibri" w:eastAsia="Arial" w:hAnsi="Calibri" w:cs="Calibri"/>
          <w:lang w:eastAsia="sk"/>
        </w:rPr>
        <w:t xml:space="preserve">86 915,07 </w:t>
      </w:r>
      <w:r w:rsidR="005975F4">
        <w:rPr>
          <w:rFonts w:ascii="Calibri" w:eastAsia="Arial" w:hAnsi="Calibri" w:cs="Calibri"/>
          <w:lang w:eastAsia="sk"/>
        </w:rPr>
        <w:t>€ bez DPH</w:t>
      </w:r>
    </w:p>
    <w:p w14:paraId="1607ECCF" w14:textId="49148768" w:rsidR="00897E6E" w:rsidRDefault="00897E6E" w:rsidP="00897E6E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lastRenderedPageBreak/>
        <w:t>Zákazka nie je rozdelená na časti.</w:t>
      </w:r>
    </w:p>
    <w:p w14:paraId="26849EB6" w14:textId="48C9686F" w:rsidR="00897E6E" w:rsidRDefault="00897E6E" w:rsidP="00897E6E">
      <w:pPr>
        <w:widowControl w:val="0"/>
        <w:autoSpaceDE w:val="0"/>
        <w:autoSpaceDN w:val="0"/>
        <w:spacing w:after="0"/>
        <w:ind w:left="720"/>
        <w:jc w:val="both"/>
        <w:rPr>
          <w:rFonts w:cstheme="minorHAnsi"/>
        </w:rPr>
      </w:pP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01399506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Rámcovej </w:t>
      </w:r>
      <w:r w:rsidR="00EA4D69">
        <w:rPr>
          <w:color w:val="auto"/>
          <w:sz w:val="22"/>
          <w:szCs w:val="22"/>
        </w:rPr>
        <w:t xml:space="preserve">kúpnej a servisnej </w:t>
      </w:r>
      <w:r w:rsidR="00895E51">
        <w:rPr>
          <w:color w:val="auto"/>
          <w:sz w:val="22"/>
          <w:szCs w:val="22"/>
        </w:rPr>
        <w:t xml:space="preserve">zmluvy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na obdobie </w:t>
      </w:r>
      <w:r w:rsidR="005975F4">
        <w:rPr>
          <w:color w:val="auto"/>
          <w:sz w:val="22"/>
          <w:szCs w:val="22"/>
        </w:rPr>
        <w:t>1</w:t>
      </w:r>
      <w:r w:rsidR="00895E51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mesiacov.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4923F298" w:rsidR="00D52A68" w:rsidRPr="004220F3" w:rsidRDefault="004220F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Čiastkové p</w:t>
      </w:r>
      <w:r w:rsidRPr="004220F3">
        <w:rPr>
          <w:rFonts w:cstheme="minorHAnsi"/>
        </w:rPr>
        <w:t xml:space="preserve">lnenie </w:t>
      </w:r>
      <w:r w:rsidR="000A769C">
        <w:rPr>
          <w:rFonts w:cstheme="minorHAnsi"/>
        </w:rPr>
        <w:t xml:space="preserve">predmetu </w:t>
      </w:r>
      <w:r w:rsidRPr="004220F3">
        <w:rPr>
          <w:rFonts w:cstheme="minorHAnsi"/>
        </w:rPr>
        <w:t xml:space="preserve">zákazky bude </w:t>
      </w:r>
      <w:r w:rsidR="00EC13D2" w:rsidRPr="004220F3">
        <w:rPr>
          <w:rFonts w:cstheme="minorHAnsi"/>
        </w:rPr>
        <w:t>uskutočň</w:t>
      </w:r>
      <w:r w:rsidR="00EC13D2">
        <w:rPr>
          <w:rFonts w:cstheme="minorHAnsi"/>
        </w:rPr>
        <w:t>ované</w:t>
      </w:r>
      <w:r w:rsidRPr="004220F3">
        <w:rPr>
          <w:rFonts w:cstheme="minorHAnsi"/>
        </w:rPr>
        <w:t xml:space="preserve"> na základe objednáv</w:t>
      </w:r>
      <w:r w:rsidR="00EC13D2">
        <w:rPr>
          <w:rFonts w:cstheme="minorHAnsi"/>
        </w:rPr>
        <w:t xml:space="preserve">ok </w:t>
      </w:r>
      <w:r w:rsidRPr="004220F3">
        <w:rPr>
          <w:rFonts w:cstheme="minorHAnsi"/>
        </w:rPr>
        <w:t>vystaven</w:t>
      </w:r>
      <w:r w:rsidR="00EC13D2">
        <w:rPr>
          <w:rFonts w:cstheme="minorHAnsi"/>
        </w:rPr>
        <w:t>ých</w:t>
      </w:r>
      <w:r w:rsidRPr="004220F3">
        <w:rPr>
          <w:rFonts w:cstheme="minorHAnsi"/>
        </w:rPr>
        <w:t xml:space="preserve"> obstarávateľom, pričom vystavená faktúra zo strany dodávateľa </w:t>
      </w:r>
      <w:r w:rsidR="00EC13D2">
        <w:rPr>
          <w:rFonts w:cstheme="minorHAnsi"/>
        </w:rPr>
        <w:t>tovaru</w:t>
      </w:r>
      <w:r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Predmet objednávky bude </w:t>
      </w:r>
      <w:r>
        <w:rPr>
          <w:rFonts w:cstheme="minorHAnsi"/>
        </w:rPr>
        <w:t>v súlade</w:t>
      </w:r>
      <w:r w:rsidRPr="004220F3">
        <w:rPr>
          <w:rFonts w:cstheme="minorHAnsi"/>
        </w:rPr>
        <w:t xml:space="preserve"> s predmetom uvedeným v </w:t>
      </w:r>
      <w:r>
        <w:rPr>
          <w:rFonts w:cstheme="minorHAnsi"/>
        </w:rPr>
        <w:t>3</w:t>
      </w:r>
      <w:r w:rsidRPr="004220F3">
        <w:rPr>
          <w:rFonts w:cstheme="minorHAnsi"/>
        </w:rPr>
        <w:t xml:space="preserve">. bode „Opis predmetu zákazky“ </w:t>
      </w:r>
      <w:r w:rsidR="00990923">
        <w:rPr>
          <w:rFonts w:cstheme="minorHAnsi"/>
        </w:rPr>
        <w:t xml:space="preserve"> </w:t>
      </w:r>
      <w:r w:rsidRPr="004220F3">
        <w:rPr>
          <w:rFonts w:cstheme="minorHAnsi"/>
        </w:rPr>
        <w:t>tejto výzvy</w:t>
      </w:r>
      <w:r>
        <w:rPr>
          <w:rFonts w:cstheme="minorHAnsi"/>
        </w:rPr>
        <w:t xml:space="preserve"> a</w:t>
      </w:r>
      <w:r w:rsidR="00990923">
        <w:rPr>
          <w:rFonts w:cstheme="minorHAnsi"/>
        </w:rPr>
        <w:t> v </w:t>
      </w:r>
      <w:r>
        <w:rPr>
          <w:rFonts w:cstheme="minorHAnsi"/>
        </w:rPr>
        <w:t>s</w:t>
      </w:r>
      <w:r w:rsidR="00990923">
        <w:rPr>
          <w:rFonts w:cstheme="minorHAnsi"/>
        </w:rPr>
        <w:t xml:space="preserve">úlade s </w:t>
      </w:r>
      <w:r>
        <w:rPr>
          <w:rFonts w:cstheme="minorHAnsi"/>
        </w:rPr>
        <w:t> </w:t>
      </w:r>
      <w:r w:rsidRPr="004220F3">
        <w:rPr>
          <w:rFonts w:cstheme="minorHAnsi"/>
        </w:rPr>
        <w:t>Príloh</w:t>
      </w:r>
      <w:r>
        <w:rPr>
          <w:rFonts w:cstheme="minorHAnsi"/>
        </w:rPr>
        <w:t>ou</w:t>
      </w:r>
      <w:r w:rsidRPr="004220F3">
        <w:rPr>
          <w:rFonts w:cstheme="minorHAnsi"/>
        </w:rPr>
        <w:t xml:space="preserve"> č. </w:t>
      </w:r>
      <w:r w:rsidR="00990923">
        <w:rPr>
          <w:rFonts w:cstheme="minorHAnsi"/>
        </w:rPr>
        <w:t>2</w:t>
      </w:r>
      <w:r w:rsidRPr="004220F3">
        <w:rPr>
          <w:rFonts w:cstheme="minorHAnsi"/>
        </w:rPr>
        <w:t xml:space="preserve"> - Návrh na plnenie kritérií</w:t>
      </w:r>
      <w:r w:rsidR="00990923">
        <w:rPr>
          <w:rFonts w:cstheme="minorHAnsi"/>
        </w:rPr>
        <w:t>- Cenová ponuka.</w:t>
      </w:r>
    </w:p>
    <w:p w14:paraId="3BB9C320" w14:textId="35C67239" w:rsidR="001F69CA" w:rsidRPr="00406B37" w:rsidRDefault="004220F3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008E3B4D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513753">
        <w:rPr>
          <w:rFonts w:cstheme="minorHAnsi"/>
          <w:b/>
          <w:bCs/>
        </w:rPr>
        <w:t>7</w:t>
      </w:r>
      <w:r w:rsidR="00895E51" w:rsidRPr="00E87E81">
        <w:rPr>
          <w:rFonts w:cstheme="minorHAnsi"/>
          <w:b/>
          <w:bCs/>
        </w:rPr>
        <w:t>.</w:t>
      </w:r>
      <w:r w:rsidR="00513753">
        <w:rPr>
          <w:rFonts w:cstheme="minorHAnsi"/>
          <w:b/>
          <w:bCs/>
        </w:rPr>
        <w:t>7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513753">
        <w:rPr>
          <w:rFonts w:cstheme="minorHAnsi"/>
          <w:b/>
          <w:bCs/>
        </w:rPr>
        <w:t>10</w:t>
      </w:r>
      <w:r w:rsidR="00D36D7D">
        <w:rPr>
          <w:rFonts w:cstheme="minorHAnsi"/>
          <w:b/>
          <w:bCs/>
        </w:rPr>
        <w:t>.7.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7899A735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osoba:</w:t>
      </w:r>
    </w:p>
    <w:p w14:paraId="7285DC0E" w14:textId="75F950B2" w:rsidR="00F05AD0" w:rsidRPr="00E87E81" w:rsidRDefault="00E87E81" w:rsidP="00E87E81">
      <w:pPr>
        <w:autoSpaceDE w:val="0"/>
        <w:autoSpaceDN w:val="0"/>
        <w:spacing w:after="0"/>
        <w:ind w:left="426" w:hanging="142"/>
        <w:rPr>
          <w:rFonts w:cstheme="minorHAnsi"/>
          <w:color w:val="404040"/>
        </w:rPr>
      </w:pPr>
      <w:r>
        <w:rPr>
          <w:rFonts w:cstheme="minorHAnsi"/>
          <w:b/>
          <w:bCs/>
        </w:rPr>
        <w:t xml:space="preserve"> </w:t>
      </w:r>
      <w:r w:rsidR="00F05AD0" w:rsidRPr="00E87E81">
        <w:rPr>
          <w:rFonts w:cstheme="minorHAnsi"/>
          <w:b/>
          <w:bCs/>
        </w:rPr>
        <w:t xml:space="preserve"> </w:t>
      </w:r>
      <w:r w:rsidR="00F05AD0" w:rsidRPr="00E87E81">
        <w:rPr>
          <w:rFonts w:cstheme="minorHAnsi"/>
          <w:b/>
          <w:bCs/>
          <w:color w:val="404040"/>
        </w:rPr>
        <w:t>Ing. Róbert Duba,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Pr="00E87E81">
        <w:rPr>
          <w:rFonts w:cstheme="minorHAnsi"/>
          <w:color w:val="404040"/>
        </w:rPr>
        <w:t xml:space="preserve"> </w:t>
      </w:r>
      <w:r>
        <w:rPr>
          <w:rFonts w:cstheme="minorHAnsi"/>
          <w:color w:val="404040"/>
        </w:rPr>
        <w:t>T</w:t>
      </w:r>
      <w:r w:rsidR="00F05AD0" w:rsidRPr="00E87E81">
        <w:rPr>
          <w:rFonts w:cstheme="minorHAnsi"/>
          <w:color w:val="404040"/>
        </w:rPr>
        <w:t>el: +421/2/40 206</w:t>
      </w:r>
      <w:r>
        <w:rPr>
          <w:rFonts w:cstheme="minorHAnsi"/>
          <w:color w:val="404040"/>
        </w:rPr>
        <w:t> </w:t>
      </w:r>
      <w:r w:rsidR="00F05AD0" w:rsidRPr="00E87E81">
        <w:rPr>
          <w:rFonts w:cstheme="minorHAnsi"/>
          <w:color w:val="404040"/>
        </w:rPr>
        <w:t>019</w:t>
      </w:r>
      <w:r>
        <w:rPr>
          <w:rFonts w:cstheme="minorHAnsi"/>
          <w:color w:val="404040"/>
        </w:rPr>
        <w:t xml:space="preserve">,  </w:t>
      </w:r>
      <w:r w:rsidR="00F05AD0" w:rsidRPr="00E87E81">
        <w:rPr>
          <w:rFonts w:cstheme="minorHAnsi"/>
          <w:color w:val="404040"/>
        </w:rPr>
        <w:t xml:space="preserve">Mobil: +421/907 582 314 </w:t>
      </w:r>
      <w:r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F05AD0" w:rsidRPr="00E87E81">
          <w:rPr>
            <w:rStyle w:val="Hypertextovprepojenie"/>
            <w:rFonts w:cstheme="minorHAnsi"/>
          </w:rPr>
          <w:t>duba@olo.sk</w:t>
        </w:r>
      </w:hyperlink>
    </w:p>
    <w:p w14:paraId="3452F60A" w14:textId="776C8F58" w:rsidR="00895E51" w:rsidRPr="00990923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</w:p>
    <w:p w14:paraId="227211AA" w14:textId="77777777" w:rsidR="00334491" w:rsidRDefault="00334491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5D0DA1C3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92159A">
        <w:rPr>
          <w:rFonts w:cstheme="minorHAnsi"/>
        </w:rPr>
        <w:t>Čiastkové p</w:t>
      </w:r>
      <w:r w:rsidR="0092159A" w:rsidRPr="004220F3">
        <w:rPr>
          <w:rFonts w:cstheme="minorHAnsi"/>
        </w:rPr>
        <w:t xml:space="preserve">lnenie </w:t>
      </w:r>
      <w:r w:rsidR="0092159A">
        <w:rPr>
          <w:rFonts w:cstheme="minorHAnsi"/>
        </w:rPr>
        <w:t xml:space="preserve">predmetu </w:t>
      </w:r>
      <w:r w:rsidR="0092159A" w:rsidRPr="004220F3">
        <w:rPr>
          <w:rFonts w:cstheme="minorHAnsi"/>
        </w:rPr>
        <w:t>zákazky</w:t>
      </w:r>
      <w:r w:rsidR="0092159A">
        <w:rPr>
          <w:rFonts w:cstheme="minorHAnsi"/>
        </w:rPr>
        <w:t xml:space="preserve"> v zmysle textu zmluvy</w:t>
      </w:r>
      <w:r w:rsidRPr="005975F4">
        <w:rPr>
          <w:rFonts w:cstheme="minorHAnsi"/>
          <w:lang w:eastAsia="sk"/>
        </w:rPr>
        <w:t>.</w:t>
      </w:r>
    </w:p>
    <w:p w14:paraId="7B20C6C9" w14:textId="4AB7E363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5975F4">
        <w:rPr>
          <w:rFonts w:cstheme="minorHAnsi"/>
          <w:color w:val="000000" w:themeColor="text1"/>
          <w:lang w:eastAsia="sk"/>
        </w:rPr>
        <w:t>1</w:t>
      </w:r>
      <w:r w:rsidR="00895E51">
        <w:rPr>
          <w:rFonts w:cstheme="minorHAnsi"/>
          <w:color w:val="000000" w:themeColor="text1"/>
          <w:lang w:eastAsia="sk"/>
        </w:rPr>
        <w:t>8</w:t>
      </w:r>
      <w:r w:rsidRPr="00394D55">
        <w:rPr>
          <w:rFonts w:cstheme="minorHAnsi"/>
          <w:color w:val="000000" w:themeColor="text1"/>
          <w:lang w:eastAsia="sk"/>
        </w:rPr>
        <w:t xml:space="preserve"> mesiacov</w:t>
      </w:r>
    </w:p>
    <w:p w14:paraId="441340DC" w14:textId="24AEA3D8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 </w:t>
      </w:r>
    </w:p>
    <w:p w14:paraId="5AD05FB9" w14:textId="77777777" w:rsidR="00EC13D2" w:rsidRPr="00352F7B" w:rsidRDefault="00EC13D2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574A94CD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faktúry; čiastkové plnenia predmetu zákazky sa bud</w:t>
      </w:r>
      <w:r w:rsidR="00EC13D2">
        <w:t>ú</w:t>
      </w:r>
      <w:r w:rsidRPr="00E45F2F">
        <w:t xml:space="preserve"> realizovať na základe písomn</w:t>
      </w:r>
      <w:r w:rsidR="00EC13D2">
        <w:t>ých</w:t>
      </w:r>
      <w:r w:rsidRPr="00E45F2F">
        <w:t xml:space="preserve"> objednáv</w:t>
      </w:r>
      <w:r w:rsidR="00EC13D2">
        <w:t>ok</w:t>
      </w:r>
      <w:r w:rsidRPr="00E45F2F">
        <w:t>. Faktúra bude mať 30-dňovú lehotu splatnosti odo dňa jej doručenia. Súčasťou faktúry bude</w:t>
      </w:r>
      <w:r w:rsidR="00990923">
        <w:t xml:space="preserve"> vážny lístok</w:t>
      </w:r>
      <w:r w:rsidRPr="00E45F2F">
        <w:t xml:space="preserve">; faktúra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lastRenderedPageBreak/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597F9D34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E87E81" w:rsidRPr="00E90525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https://josephine.proebiz.com/sk/tender/7694/summary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A775E4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Pr="002B4AE9">
        <w:rPr>
          <w:rFonts w:ascii="Calibri" w:eastAsia="Arial" w:hAnsi="Calibri" w:cs="Calibri"/>
          <w:lang w:eastAsia="sk"/>
        </w:rPr>
        <w:lastRenderedPageBreak/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A775E4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709D796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8448A7">
        <w:rPr>
          <w:rFonts w:ascii="Calibri" w:eastAsia="Arial" w:hAnsi="Calibri" w:cs="Calibri"/>
          <w:lang w:eastAsia="sk"/>
        </w:rPr>
        <w:t>15</w:t>
      </w:r>
      <w:r w:rsidR="00032EFA">
        <w:rPr>
          <w:rFonts w:ascii="Calibri" w:eastAsia="Arial" w:hAnsi="Calibri" w:cs="Calibri"/>
          <w:lang w:eastAsia="sk"/>
        </w:rPr>
        <w:t>.</w:t>
      </w:r>
      <w:r w:rsidR="001A435D">
        <w:rPr>
          <w:rFonts w:ascii="Calibri" w:eastAsia="Arial" w:hAnsi="Calibri" w:cs="Calibri"/>
          <w:lang w:eastAsia="sk"/>
        </w:rPr>
        <w:t>7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20D3D3D7" w:rsidR="009B0997" w:rsidRDefault="00A775E4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87E81" w:rsidRPr="003C7E6E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https://josephine.proebiz.com/sk/tender/76</w:t>
        </w:r>
        <w:r w:rsidR="00E87E81">
          <w:rPr>
            <w:rStyle w:val="Hypertextovprepojenie"/>
            <w:rFonts w:ascii="Calibri" w:eastAsia="Arial" w:hAnsi="Calibri" w:cs="Calibri"/>
            <w:lang w:eastAsia="sk"/>
          </w:rPr>
          <w:t>94</w:t>
        </w:r>
        <w:r w:rsidR="00E87E81" w:rsidRPr="003C7E6E">
          <w:rPr>
            <w:rStyle w:val="Hypertextovprepojenie"/>
            <w:rFonts w:ascii="Calibri" w:eastAsia="Arial" w:hAnsi="Calibri" w:cs="Calibri"/>
            <w:lang w:eastAsia="sk"/>
          </w:rPr>
          <w:t>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</w:t>
      </w:r>
      <w:r w:rsidRPr="00BC7473">
        <w:rPr>
          <w:rFonts w:ascii="Calibri" w:eastAsia="Arial" w:hAnsi="Calibri" w:cs="Calibri"/>
          <w:bCs/>
          <w:lang w:eastAsia="sk"/>
        </w:rPr>
        <w:lastRenderedPageBreak/>
        <w:t xml:space="preserve">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5C190A69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E87E81">
        <w:rPr>
          <w:rFonts w:ascii="Calibri" w:eastAsia="Arial" w:hAnsi="Calibri" w:cs="Calibri"/>
          <w:lang w:val="sk" w:eastAsia="sk"/>
        </w:rPr>
        <w:t xml:space="preserve"> obdobie </w:t>
      </w:r>
      <w:r w:rsidR="00990923">
        <w:rPr>
          <w:rFonts w:ascii="Calibri" w:eastAsia="Arial" w:hAnsi="Calibri" w:cs="Calibri"/>
          <w:lang w:val="sk" w:eastAsia="sk"/>
        </w:rPr>
        <w:t>1</w:t>
      </w:r>
      <w:r w:rsidR="0092159A">
        <w:rPr>
          <w:rFonts w:ascii="Calibri" w:eastAsia="Arial" w:hAnsi="Calibri" w:cs="Calibri"/>
          <w:lang w:val="sk" w:eastAsia="sk"/>
        </w:rPr>
        <w:t>8</w:t>
      </w:r>
      <w:r w:rsidRPr="008A320E">
        <w:rPr>
          <w:rFonts w:ascii="Calibri" w:eastAsia="Arial" w:hAnsi="Calibri" w:cs="Calibri"/>
          <w:lang w:val="sk" w:eastAsia="sk"/>
        </w:rPr>
        <w:t xml:space="preserve"> mesiacov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lastRenderedPageBreak/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5254DC1C" w:rsidR="00E64DD5" w:rsidRPr="007E1461" w:rsidRDefault="007E1461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</w:p>
    <w:p w14:paraId="21DF8C3A" w14:textId="0CE3BBDE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</w:p>
    <w:p w14:paraId="18134A11" w14:textId="6D7A60D2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rámcovej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o dielo</w:t>
      </w:r>
      <w:r>
        <w:rPr>
          <w:rFonts w:ascii="Calibri" w:eastAsia="Arial" w:hAnsi="Calibri" w:cs="Calibri"/>
          <w:b/>
          <w:bCs/>
          <w:lang w:eastAsia="sk"/>
        </w:rPr>
        <w:t>.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3F3AA816" w14:textId="7C47787F" w:rsidR="001E604B" w:rsidRPr="001E604B" w:rsidRDefault="006C7BEE" w:rsidP="00262BBE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 </w:t>
      </w:r>
    </w:p>
    <w:p w14:paraId="522D6988" w14:textId="77777777"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02E6696B" w14:textId="77777777" w:rsidR="001E604B" w:rsidRPr="001E604B" w:rsidRDefault="001E604B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5C66D009" w14:textId="77777777"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2EA98CBE" w14:textId="26C15A31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A775E4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775E4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5C56" w14:textId="77777777" w:rsidR="00542D19" w:rsidRDefault="00542D19" w:rsidP="00F14090">
      <w:pPr>
        <w:spacing w:after="0" w:line="240" w:lineRule="auto"/>
      </w:pPr>
      <w:r>
        <w:separator/>
      </w:r>
    </w:p>
  </w:endnote>
  <w:endnote w:type="continuationSeparator" w:id="0">
    <w:p w14:paraId="71014E46" w14:textId="77777777" w:rsidR="00542D19" w:rsidRDefault="00542D19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7B7E" w14:textId="77777777" w:rsidR="00542D19" w:rsidRDefault="00542D19" w:rsidP="00F14090">
      <w:pPr>
        <w:spacing w:after="0" w:line="240" w:lineRule="auto"/>
      </w:pPr>
      <w:r>
        <w:separator/>
      </w:r>
    </w:p>
  </w:footnote>
  <w:footnote w:type="continuationSeparator" w:id="0">
    <w:p w14:paraId="48FFAE2A" w14:textId="77777777" w:rsidR="00542D19" w:rsidRDefault="00542D19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A775E4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5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9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4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1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4B56"/>
    <w:rsid w:val="00032EFA"/>
    <w:rsid w:val="00033094"/>
    <w:rsid w:val="00036964"/>
    <w:rsid w:val="00037FCA"/>
    <w:rsid w:val="00045046"/>
    <w:rsid w:val="00050AB4"/>
    <w:rsid w:val="000514EF"/>
    <w:rsid w:val="00051D56"/>
    <w:rsid w:val="00065F6D"/>
    <w:rsid w:val="00091C9A"/>
    <w:rsid w:val="00095262"/>
    <w:rsid w:val="0009755D"/>
    <w:rsid w:val="000A2F4A"/>
    <w:rsid w:val="000A3E3D"/>
    <w:rsid w:val="000A769C"/>
    <w:rsid w:val="000B4653"/>
    <w:rsid w:val="000C663C"/>
    <w:rsid w:val="000D6998"/>
    <w:rsid w:val="000E3864"/>
    <w:rsid w:val="000F0D46"/>
    <w:rsid w:val="001036FC"/>
    <w:rsid w:val="00114F79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9484C"/>
    <w:rsid w:val="00194FCD"/>
    <w:rsid w:val="001A435D"/>
    <w:rsid w:val="001B16B3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53CC"/>
    <w:rsid w:val="00257120"/>
    <w:rsid w:val="00262BBE"/>
    <w:rsid w:val="00266EB6"/>
    <w:rsid w:val="00274170"/>
    <w:rsid w:val="00277CEA"/>
    <w:rsid w:val="002801AB"/>
    <w:rsid w:val="00297444"/>
    <w:rsid w:val="002A1A85"/>
    <w:rsid w:val="002B4AE9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6456"/>
    <w:rsid w:val="004220F3"/>
    <w:rsid w:val="0042212F"/>
    <w:rsid w:val="00454632"/>
    <w:rsid w:val="00464935"/>
    <w:rsid w:val="00472410"/>
    <w:rsid w:val="004765E2"/>
    <w:rsid w:val="00476976"/>
    <w:rsid w:val="00477F98"/>
    <w:rsid w:val="0048124C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2D19"/>
    <w:rsid w:val="0054539C"/>
    <w:rsid w:val="005522BB"/>
    <w:rsid w:val="005541DB"/>
    <w:rsid w:val="0055455B"/>
    <w:rsid w:val="005655DB"/>
    <w:rsid w:val="0057325C"/>
    <w:rsid w:val="0058218B"/>
    <w:rsid w:val="00583323"/>
    <w:rsid w:val="00595334"/>
    <w:rsid w:val="0059724C"/>
    <w:rsid w:val="005975F4"/>
    <w:rsid w:val="005A094D"/>
    <w:rsid w:val="005A2648"/>
    <w:rsid w:val="005C56BC"/>
    <w:rsid w:val="005D78CE"/>
    <w:rsid w:val="005F03F6"/>
    <w:rsid w:val="006020B9"/>
    <w:rsid w:val="0061672F"/>
    <w:rsid w:val="00616A03"/>
    <w:rsid w:val="006236D7"/>
    <w:rsid w:val="00630156"/>
    <w:rsid w:val="00632F64"/>
    <w:rsid w:val="0065567A"/>
    <w:rsid w:val="00662B03"/>
    <w:rsid w:val="00687801"/>
    <w:rsid w:val="006A0B45"/>
    <w:rsid w:val="006A291B"/>
    <w:rsid w:val="006A45B5"/>
    <w:rsid w:val="006C0151"/>
    <w:rsid w:val="006C7BEE"/>
    <w:rsid w:val="006D0997"/>
    <w:rsid w:val="006D1475"/>
    <w:rsid w:val="006D4313"/>
    <w:rsid w:val="006D5E6F"/>
    <w:rsid w:val="006E183A"/>
    <w:rsid w:val="006E28CB"/>
    <w:rsid w:val="00713C01"/>
    <w:rsid w:val="0071407E"/>
    <w:rsid w:val="0071425C"/>
    <w:rsid w:val="007208CB"/>
    <w:rsid w:val="007238DC"/>
    <w:rsid w:val="00726DAE"/>
    <w:rsid w:val="00736218"/>
    <w:rsid w:val="00751102"/>
    <w:rsid w:val="007676BF"/>
    <w:rsid w:val="00772C10"/>
    <w:rsid w:val="007805D8"/>
    <w:rsid w:val="00783E00"/>
    <w:rsid w:val="007867D7"/>
    <w:rsid w:val="00791113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75D2"/>
    <w:rsid w:val="00990923"/>
    <w:rsid w:val="00990FAE"/>
    <w:rsid w:val="0099218E"/>
    <w:rsid w:val="00996919"/>
    <w:rsid w:val="009A3D0B"/>
    <w:rsid w:val="009B0997"/>
    <w:rsid w:val="009B20AD"/>
    <w:rsid w:val="009D6D31"/>
    <w:rsid w:val="009E385D"/>
    <w:rsid w:val="009E6ECB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26F2"/>
    <w:rsid w:val="00A8748A"/>
    <w:rsid w:val="00A936A4"/>
    <w:rsid w:val="00A9706C"/>
    <w:rsid w:val="00AA31D5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82461"/>
    <w:rsid w:val="00B9393D"/>
    <w:rsid w:val="00B94C91"/>
    <w:rsid w:val="00BA0126"/>
    <w:rsid w:val="00BA530B"/>
    <w:rsid w:val="00BC3F29"/>
    <w:rsid w:val="00BC7473"/>
    <w:rsid w:val="00BE550F"/>
    <w:rsid w:val="00BF240C"/>
    <w:rsid w:val="00C0169C"/>
    <w:rsid w:val="00C03CF9"/>
    <w:rsid w:val="00C21BEB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6487"/>
    <w:rsid w:val="00D22C98"/>
    <w:rsid w:val="00D254DA"/>
    <w:rsid w:val="00D30F2D"/>
    <w:rsid w:val="00D36D7D"/>
    <w:rsid w:val="00D433F1"/>
    <w:rsid w:val="00D43473"/>
    <w:rsid w:val="00D43752"/>
    <w:rsid w:val="00D44D5F"/>
    <w:rsid w:val="00D52A68"/>
    <w:rsid w:val="00D677C8"/>
    <w:rsid w:val="00D67DC0"/>
    <w:rsid w:val="00D729C5"/>
    <w:rsid w:val="00D7355F"/>
    <w:rsid w:val="00D8169B"/>
    <w:rsid w:val="00D942B6"/>
    <w:rsid w:val="00DA3589"/>
    <w:rsid w:val="00DA53EB"/>
    <w:rsid w:val="00DB01B4"/>
    <w:rsid w:val="00DB140D"/>
    <w:rsid w:val="00DB4C85"/>
    <w:rsid w:val="00DC5DDC"/>
    <w:rsid w:val="00DD0FA9"/>
    <w:rsid w:val="00DD66B9"/>
    <w:rsid w:val="00DE28FF"/>
    <w:rsid w:val="00DE7462"/>
    <w:rsid w:val="00DF231E"/>
    <w:rsid w:val="00DF3C2B"/>
    <w:rsid w:val="00DF6AD0"/>
    <w:rsid w:val="00E0252A"/>
    <w:rsid w:val="00E1051F"/>
    <w:rsid w:val="00E119C7"/>
    <w:rsid w:val="00E24B80"/>
    <w:rsid w:val="00E26649"/>
    <w:rsid w:val="00E27901"/>
    <w:rsid w:val="00E4386B"/>
    <w:rsid w:val="00E45F2F"/>
    <w:rsid w:val="00E54356"/>
    <w:rsid w:val="00E64DD5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6149B"/>
    <w:rsid w:val="00F625A7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7694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7611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7694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49</cp:revision>
  <cp:lastPrinted>2020-03-06T09:06:00Z</cp:lastPrinted>
  <dcterms:created xsi:type="dcterms:W3CDTF">2020-06-11T07:57:00Z</dcterms:created>
  <dcterms:modified xsi:type="dcterms:W3CDTF">2020-07-06T06:52:00Z</dcterms:modified>
</cp:coreProperties>
</file>