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Vrazn"/>
          <w:rFonts w:cs="Arial"/>
          <w:szCs w:val="20"/>
        </w:rPr>
      </w:pPr>
    </w:p>
    <w:p w14:paraId="4DE33089" w14:textId="77777777" w:rsidR="0026338E" w:rsidRPr="00977280" w:rsidRDefault="0026338E" w:rsidP="0026338E">
      <w:pPr>
        <w:spacing w:after="0"/>
        <w:rPr>
          <w:rStyle w:val="Vrazn"/>
          <w:rFonts w:cs="Arial"/>
          <w:szCs w:val="20"/>
        </w:rPr>
      </w:pPr>
      <w:r w:rsidRPr="00977280">
        <w:rPr>
          <w:rStyle w:val="Vraz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4221EA16"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sidR="00A23C46">
              <w:rPr>
                <w:rFonts w:cs="Arial"/>
                <w:szCs w:val="20"/>
              </w:rPr>
              <w:t>Vihorlat</w:t>
            </w:r>
          </w:p>
        </w:tc>
      </w:tr>
      <w:tr w:rsidR="0026338E" w:rsidRPr="00977280" w14:paraId="646F1059" w14:textId="77777777" w:rsidTr="001553E8">
        <w:tc>
          <w:tcPr>
            <w:tcW w:w="1308" w:type="pct"/>
            <w:tcBorders>
              <w:top w:val="nil"/>
              <w:bottom w:val="nil"/>
              <w:right w:val="nil"/>
            </w:tcBorders>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480234C8" w:rsidR="0026338E" w:rsidRPr="00977280" w:rsidRDefault="00A23C46" w:rsidP="001553E8">
            <w:pPr>
              <w:spacing w:after="0" w:line="360" w:lineRule="auto"/>
              <w:rPr>
                <w:rFonts w:cs="Arial"/>
                <w:szCs w:val="20"/>
              </w:rPr>
            </w:pPr>
            <w:r>
              <w:rPr>
                <w:rFonts w:cs="Arial"/>
                <w:szCs w:val="20"/>
              </w:rPr>
              <w:t>Čemernianska 136, 093 03 Vranov n/T</w:t>
            </w:r>
          </w:p>
        </w:tc>
      </w:tr>
      <w:tr w:rsidR="0026338E" w:rsidRPr="00977280" w14:paraId="4F411BBE" w14:textId="77777777" w:rsidTr="001553E8">
        <w:tc>
          <w:tcPr>
            <w:tcW w:w="1308" w:type="pct"/>
            <w:tcBorders>
              <w:top w:val="nil"/>
              <w:bottom w:val="nil"/>
              <w:right w:val="nil"/>
            </w:tcBorders>
          </w:tcPr>
          <w:p w14:paraId="13D31D79" w14:textId="612C1F31" w:rsidR="0026338E" w:rsidRPr="00977280" w:rsidRDefault="0026338E" w:rsidP="001553E8">
            <w:pPr>
              <w:spacing w:after="0" w:line="360" w:lineRule="auto"/>
              <w:rPr>
                <w:rFonts w:cs="Arial"/>
                <w:szCs w:val="20"/>
              </w:rPr>
            </w:pPr>
          </w:p>
        </w:tc>
        <w:tc>
          <w:tcPr>
            <w:tcW w:w="3692" w:type="pct"/>
            <w:tcBorders>
              <w:top w:val="dashed" w:sz="4" w:space="0" w:color="auto"/>
              <w:left w:val="nil"/>
              <w:right w:val="nil"/>
            </w:tcBorders>
          </w:tcPr>
          <w:p w14:paraId="17FFE6AC" w14:textId="71101334" w:rsidR="00A23C46" w:rsidRPr="00977280" w:rsidRDefault="00A23C46" w:rsidP="00944C2A">
            <w:pPr>
              <w:spacing w:after="0"/>
              <w:rPr>
                <w:rFonts w:cs="Arial"/>
                <w:szCs w:val="20"/>
              </w:rPr>
            </w:pPr>
            <w:r>
              <w:rPr>
                <w:rFonts w:cs="Arial"/>
                <w:szCs w:val="20"/>
              </w:rPr>
              <w:t>Ing. Jaroslav Uchaľ – riaditeľ OZ Vihorlat</w:t>
            </w:r>
          </w:p>
        </w:tc>
      </w:tr>
      <w:tr w:rsidR="0026338E" w:rsidRPr="00977280" w14:paraId="2F1F48F0" w14:textId="77777777" w:rsidTr="001553E8">
        <w:tc>
          <w:tcPr>
            <w:tcW w:w="1308" w:type="pct"/>
            <w:tcBorders>
              <w:top w:val="nil"/>
              <w:bottom w:val="nil"/>
              <w:right w:val="nil"/>
            </w:tcBorders>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39B81812" w:rsidR="0026338E" w:rsidRPr="00977280" w:rsidRDefault="0026338E" w:rsidP="001553E8">
            <w:pPr>
              <w:spacing w:after="0" w:line="360" w:lineRule="auto"/>
              <w:rPr>
                <w:rFonts w:cs="Arial"/>
                <w:szCs w:val="20"/>
              </w:rPr>
            </w:pPr>
          </w:p>
        </w:tc>
      </w:tr>
      <w:tr w:rsidR="0026338E" w:rsidRPr="00977280" w14:paraId="0AD0FDD2" w14:textId="77777777" w:rsidTr="001553E8">
        <w:tc>
          <w:tcPr>
            <w:tcW w:w="5000" w:type="pct"/>
            <w:gridSpan w:val="2"/>
            <w:tcBorders>
              <w:top w:val="nil"/>
              <w:bottom w:val="nil"/>
              <w:right w:val="nil"/>
            </w:tcBorders>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40351565"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w:t>
      </w:r>
      <w:r w:rsidR="00A23C46">
        <w:rPr>
          <w:rFonts w:cs="Arial"/>
          <w:sz w:val="20"/>
          <w:szCs w:val="20"/>
        </w:rPr>
        <w:t xml:space="preserve"> OZ Vihorlat</w:t>
      </w:r>
      <w:r w:rsidRPr="006162E9">
        <w:rPr>
          <w:rFonts w:cs="Arial"/>
          <w:sz w:val="20"/>
          <w:szCs w:val="20"/>
        </w:rPr>
        <w:t xml:space="preserve"> - výzva č. 0</w:t>
      </w:r>
      <w:r w:rsidR="005F3AEC">
        <w:rPr>
          <w:rFonts w:cs="Arial"/>
          <w:sz w:val="20"/>
          <w:szCs w:val="20"/>
        </w:rPr>
        <w:t>4</w:t>
      </w:r>
      <w:r w:rsidRPr="006162E9">
        <w:rPr>
          <w:rFonts w:cs="Arial"/>
          <w:sz w:val="20"/>
          <w:szCs w:val="20"/>
        </w:rPr>
        <w:t>/202</w:t>
      </w:r>
      <w:r w:rsidR="001057E7">
        <w:rPr>
          <w:rFonts w:cs="Arial"/>
          <w:sz w:val="20"/>
          <w:szCs w:val="20"/>
        </w:rPr>
        <w:t xml:space="preserve">6 </w:t>
      </w:r>
      <w:bookmarkStart w:id="0" w:name="_Hlk224205655"/>
      <w:r w:rsidR="001057E7" w:rsidRPr="001057E7">
        <w:rPr>
          <w:rFonts w:cs="Arial"/>
          <w:sz w:val="20"/>
          <w:szCs w:val="20"/>
        </w:rPr>
        <w:t xml:space="preserve">Mulčovanie lesnej dopravnej siete na obdobie 05-10-2026 na OZ Vihorlat pre LS </w:t>
      </w:r>
      <w:r w:rsidR="005F3AEC" w:rsidRPr="005F3AEC">
        <w:rPr>
          <w:rFonts w:cs="Arial"/>
          <w:sz w:val="20"/>
          <w:szCs w:val="20"/>
        </w:rPr>
        <w:t xml:space="preserve">Stropkov </w:t>
      </w:r>
      <w:r w:rsidR="001057E7">
        <w:t xml:space="preserve"> </w:t>
      </w:r>
      <w:bookmarkEnd w:id="0"/>
      <w:r w:rsidRPr="006162E9">
        <w:rPr>
          <w:rFonts w:cs="Arial"/>
          <w:sz w:val="20"/>
          <w:szCs w:val="20"/>
        </w:rPr>
        <w:t xml:space="preserve">,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6862E8AB" w14:textId="07299A0C" w:rsidR="00CC147F" w:rsidRPr="00CC147F" w:rsidRDefault="0026338E" w:rsidP="00CC147F">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w:t>
      </w:r>
      <w:r w:rsidR="00A23C46">
        <w:rPr>
          <w:rFonts w:cs="Arial"/>
          <w:sz w:val="20"/>
          <w:szCs w:val="20"/>
        </w:rPr>
        <w:t>základe samostatných objednávok</w:t>
      </w:r>
      <w:r w:rsidR="00944C2A" w:rsidRPr="00944C2A">
        <w:rPr>
          <w:rFonts w:cs="Arial"/>
          <w:sz w:val="20"/>
          <w:szCs w:val="20"/>
        </w:rPr>
        <w:t xml:space="preserve"> Služby mechanizačnými prostriedkami</w:t>
      </w:r>
      <w:r w:rsidR="0003351A" w:rsidRPr="0003351A">
        <w:rPr>
          <w:rFonts w:cs="Arial"/>
          <w:sz w:val="20"/>
          <w:szCs w:val="20"/>
        </w:rPr>
        <w:t xml:space="preserve"> </w:t>
      </w:r>
      <w:r w:rsidR="0003351A" w:rsidRPr="001057E7">
        <w:rPr>
          <w:rFonts w:cs="Arial"/>
          <w:sz w:val="20"/>
          <w:szCs w:val="20"/>
        </w:rPr>
        <w:t xml:space="preserve">Mulčovanie lesnej dopravnej siete na obdobie 05-10-2026 na OZ Vihorlat pre LS </w:t>
      </w:r>
      <w:r w:rsidR="005E015E">
        <w:rPr>
          <w:rFonts w:cs="Arial"/>
          <w:sz w:val="20"/>
          <w:szCs w:val="20"/>
        </w:rPr>
        <w:t>Humenné</w:t>
      </w:r>
      <w:r w:rsidR="0003351A">
        <w:rPr>
          <w:rFonts w:cs="Arial"/>
          <w:sz w:val="20"/>
          <w:szCs w:val="20"/>
        </w:rPr>
        <w:t xml:space="preserve">, </w:t>
      </w:r>
      <w:r w:rsidR="00CC147F" w:rsidRPr="00CC147F">
        <w:rPr>
          <w:rFonts w:cs="Arial"/>
          <w:sz w:val="20"/>
          <w:szCs w:val="20"/>
        </w:rPr>
        <w:t>lesných ciest, zvážnic, približovacích liniek (ďalej aj „služby</w:t>
      </w:r>
      <w:r w:rsidR="00A23C46">
        <w:rPr>
          <w:rFonts w:cs="Arial"/>
          <w:sz w:val="20"/>
          <w:szCs w:val="20"/>
        </w:rPr>
        <w:t xml:space="preserve">“) pre územnú jednotku </w:t>
      </w:r>
      <w:r w:rsidR="0009406D">
        <w:rPr>
          <w:rFonts w:cs="Arial"/>
          <w:b/>
          <w:sz w:val="20"/>
          <w:szCs w:val="20"/>
        </w:rPr>
        <w:t>OZ Vihorlat – L</w:t>
      </w:r>
      <w:r w:rsidR="005F3E1C">
        <w:rPr>
          <w:rFonts w:cs="Arial"/>
          <w:b/>
          <w:sz w:val="20"/>
          <w:szCs w:val="20"/>
        </w:rPr>
        <w:t xml:space="preserve">S </w:t>
      </w:r>
      <w:r w:rsidR="00B91C9C" w:rsidRPr="00B91C9C">
        <w:rPr>
          <w:rFonts w:cs="Arial"/>
          <w:b/>
          <w:sz w:val="20"/>
          <w:szCs w:val="20"/>
        </w:rPr>
        <w:t>Stropkov</w:t>
      </w:r>
      <w:r w:rsidR="00CC147F" w:rsidRPr="00CC147F">
        <w:rPr>
          <w:rFonts w:cs="Arial"/>
          <w:sz w:val="20"/>
          <w:szCs w:val="20"/>
        </w:rPr>
        <w:t xml:space="preserve"> pričom rozsah je uvedený v Prílohe č. 1 -  Položky a ceny.</w:t>
      </w:r>
    </w:p>
    <w:p w14:paraId="3584D571" w14:textId="30B5D4AF" w:rsidR="00CC147F" w:rsidRPr="00CC147F" w:rsidRDefault="0003351A" w:rsidP="00CC147F">
      <w:pPr>
        <w:pStyle w:val="Odsekzoznamu"/>
        <w:numPr>
          <w:ilvl w:val="1"/>
          <w:numId w:val="96"/>
        </w:numPr>
        <w:spacing w:after="0"/>
        <w:jc w:val="both"/>
        <w:rPr>
          <w:rFonts w:cs="Arial"/>
          <w:sz w:val="20"/>
          <w:szCs w:val="20"/>
        </w:rPr>
      </w:pPr>
      <w:r>
        <w:rPr>
          <w:rFonts w:cs="Arial"/>
          <w:sz w:val="20"/>
          <w:szCs w:val="20"/>
        </w:rPr>
        <w:t>Mulčovaním sa rozumie – údržba, kosenie a mulčovanie okrajov ciest, banketov</w:t>
      </w:r>
      <w:r w:rsidR="003E6F90">
        <w:rPr>
          <w:rFonts w:cs="Arial"/>
          <w:sz w:val="20"/>
          <w:szCs w:val="20"/>
        </w:rPr>
        <w:t xml:space="preserve"> do šírky</w:t>
      </w:r>
      <w:bookmarkStart w:id="1" w:name="_Hlk224207920"/>
      <w:r w:rsidR="00C226B4">
        <w:rPr>
          <w:rFonts w:cs="Arial"/>
          <w:sz w:val="20"/>
          <w:szCs w:val="20"/>
        </w:rPr>
        <w:t xml:space="preserve"> 1</w:t>
      </w:r>
      <w:r w:rsidR="000364DB" w:rsidRPr="000364DB">
        <w:rPr>
          <w:rFonts w:cs="Arial"/>
          <w:sz w:val="20"/>
          <w:szCs w:val="20"/>
        </w:rPr>
        <w:t>m</w:t>
      </w:r>
      <w:r w:rsidR="000364DB" w:rsidRPr="000364DB">
        <w:rPr>
          <w:rFonts w:cs="Arial"/>
          <w:sz w:val="20"/>
          <w:szCs w:val="20"/>
          <w:vertAlign w:val="superscript"/>
        </w:rPr>
        <w:t>2</w:t>
      </w:r>
      <w:bookmarkEnd w:id="1"/>
      <w:r>
        <w:rPr>
          <w:rFonts w:cs="Arial"/>
          <w:sz w:val="20"/>
          <w:szCs w:val="20"/>
        </w:rPr>
        <w:t>, a pod.</w:t>
      </w:r>
      <w:r w:rsidR="00CC147F" w:rsidRPr="00CC147F">
        <w:rPr>
          <w:rFonts w:cs="Arial"/>
          <w:sz w:val="20"/>
          <w:szCs w:val="20"/>
        </w:rPr>
        <w:t xml:space="preserve"> Pričom rozsah a podmienky vyplývajú zo zadania uskutočnenej súťaže v dynamickom nákupnom systéme. </w:t>
      </w:r>
    </w:p>
    <w:p w14:paraId="65D1E996" w14:textId="1E509201" w:rsidR="00CC147F" w:rsidRPr="00CC147F" w:rsidRDefault="00CC147F" w:rsidP="00CC147F">
      <w:pPr>
        <w:pStyle w:val="Odsekzoznamu"/>
        <w:numPr>
          <w:ilvl w:val="1"/>
          <w:numId w:val="96"/>
        </w:numPr>
        <w:rPr>
          <w:rFonts w:cs="Arial"/>
          <w:szCs w:val="20"/>
        </w:rPr>
      </w:pPr>
      <w:r w:rsidRPr="00CC147F">
        <w:rPr>
          <w:rFonts w:cs="Arial"/>
          <w:sz w:val="20"/>
          <w:szCs w:val="20"/>
        </w:rPr>
        <w:t>Cena zahŕňa presun pr</w:t>
      </w:r>
      <w:r w:rsidR="00A23C46">
        <w:rPr>
          <w:rFonts w:cs="Arial"/>
          <w:sz w:val="20"/>
          <w:szCs w:val="20"/>
        </w:rPr>
        <w:t>ostriedku na miesto výkonu prác, presunov v rámci pracoviska, prestojov</w:t>
      </w:r>
      <w:r w:rsidR="0003351A">
        <w:rPr>
          <w:rFonts w:cs="Arial"/>
          <w:sz w:val="20"/>
          <w:szCs w:val="20"/>
        </w:rPr>
        <w:t xml:space="preserve">, </w:t>
      </w:r>
      <w:r w:rsidR="00A23C46">
        <w:rPr>
          <w:rFonts w:cs="Arial"/>
          <w:sz w:val="20"/>
          <w:szCs w:val="20"/>
        </w:rPr>
        <w:t xml:space="preserve"> </w:t>
      </w:r>
      <w:r w:rsidR="000364DB" w:rsidRPr="000364DB">
        <w:rPr>
          <w:rFonts w:cs="Arial"/>
          <w:sz w:val="20"/>
          <w:szCs w:val="20"/>
        </w:rPr>
        <w:t>m</w:t>
      </w:r>
      <w:r w:rsidR="000364DB" w:rsidRPr="000364DB">
        <w:rPr>
          <w:rFonts w:cs="Arial"/>
          <w:sz w:val="20"/>
          <w:szCs w:val="20"/>
          <w:vertAlign w:val="superscript"/>
        </w:rPr>
        <w:t>2</w:t>
      </w:r>
      <w:r w:rsidR="0003351A" w:rsidRPr="0003351A">
        <w:rPr>
          <w:rFonts w:cs="Arial"/>
          <w:sz w:val="20"/>
          <w:szCs w:val="20"/>
        </w:rPr>
        <w:t xml:space="preserve"> sa počítajú od zahájenia prác na pracovisku</w:t>
      </w:r>
      <w:r w:rsidR="0003351A">
        <w:rPr>
          <w:rFonts w:cs="Arial"/>
          <w:sz w:val="20"/>
          <w:szCs w:val="20"/>
        </w:rPr>
        <w:t>.</w:t>
      </w:r>
      <w:r w:rsidRPr="00CC147F">
        <w:rPr>
          <w:rFonts w:cs="Arial"/>
          <w:sz w:val="20"/>
          <w:szCs w:val="20"/>
        </w:rPr>
        <w:t xml:space="preserve"> Práce budú zadávané priebež</w:t>
      </w:r>
      <w:r w:rsidR="00A23C46">
        <w:rPr>
          <w:rFonts w:cs="Arial"/>
          <w:sz w:val="20"/>
          <w:szCs w:val="20"/>
        </w:rPr>
        <w:t>ne podľa potreby lesnej správy.</w:t>
      </w:r>
      <w:r w:rsidRPr="00CC147F">
        <w:rPr>
          <w:rFonts w:cs="Arial"/>
          <w:sz w:val="20"/>
          <w:szCs w:val="20"/>
        </w:rPr>
        <w:t xml:space="preserve"> </w:t>
      </w:r>
      <w:r w:rsidRPr="0003351A">
        <w:rPr>
          <w:rFonts w:cs="Arial"/>
          <w:bCs/>
          <w:sz w:val="20"/>
          <w:szCs w:val="20"/>
        </w:rPr>
        <w:t>Upozorňujeme na skutočnosť, že ide o práce v lesnom prostredí</w:t>
      </w:r>
      <w:r w:rsidRPr="0003351A">
        <w:rPr>
          <w:rFonts w:cs="Arial"/>
          <w:bCs/>
          <w:szCs w:val="20"/>
        </w:rPr>
        <w:t>.</w:t>
      </w:r>
    </w:p>
    <w:p w14:paraId="5B1016C6" w14:textId="41F17D5B" w:rsidR="0026338E" w:rsidRPr="00CC147F" w:rsidRDefault="0026338E" w:rsidP="00CC147F">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CB4FA18" w14:textId="0E428142" w:rsidR="00A23C46" w:rsidRPr="00A23C46" w:rsidRDefault="0026338E" w:rsidP="00A23C46">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lastRenderedPageBreak/>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B40E20" w14:paraId="23ACE768" w14:textId="77777777" w:rsidTr="001553E8">
        <w:tc>
          <w:tcPr>
            <w:tcW w:w="2583" w:type="dxa"/>
          </w:tcPr>
          <w:p w14:paraId="28B2C4FB" w14:textId="77777777" w:rsidR="0026338E" w:rsidRPr="00B40E20" w:rsidRDefault="0026338E" w:rsidP="001553E8">
            <w:pPr>
              <w:spacing w:line="360" w:lineRule="auto"/>
              <w:jc w:val="both"/>
              <w:rPr>
                <w:rFonts w:cs="Arial"/>
                <w:szCs w:val="20"/>
                <w:highlight w:val="yellow"/>
              </w:rPr>
            </w:pPr>
            <w:r w:rsidRPr="00B40E20">
              <w:rPr>
                <w:rFonts w:cs="Arial"/>
                <w:szCs w:val="20"/>
                <w:highlight w:val="yellow"/>
              </w:rPr>
              <w:t>emailovú adresu :</w:t>
            </w:r>
          </w:p>
        </w:tc>
        <w:tc>
          <w:tcPr>
            <w:tcW w:w="6063" w:type="dxa"/>
            <w:tcBorders>
              <w:bottom w:val="dashed" w:sz="4" w:space="0" w:color="auto"/>
            </w:tcBorders>
          </w:tcPr>
          <w:p w14:paraId="6D3BA16E" w14:textId="77777777" w:rsidR="0026338E" w:rsidRPr="00B40E20" w:rsidRDefault="0026338E" w:rsidP="001553E8">
            <w:pPr>
              <w:spacing w:line="360" w:lineRule="auto"/>
              <w:jc w:val="both"/>
              <w:rPr>
                <w:rFonts w:cs="Arial"/>
                <w:szCs w:val="20"/>
                <w:highlight w:val="yellow"/>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3A504396"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00F653FA">
        <w:rPr>
          <w:rFonts w:cs="Arial"/>
          <w:sz w:val="20"/>
          <w:szCs w:val="20"/>
        </w:rPr>
        <w:t>6</w:t>
      </w:r>
      <w:r>
        <w:rPr>
          <w:rFonts w:cs="Arial"/>
          <w:sz w:val="20"/>
          <w:szCs w:val="20"/>
        </w:rPr>
        <w:t xml:space="preserve">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 xml:space="preserve">podpísaní  </w:t>
      </w:r>
      <w:r w:rsidRPr="00A23C46">
        <w:rPr>
          <w:rFonts w:cs="Arial"/>
          <w:b/>
          <w:sz w:val="20"/>
          <w:szCs w:val="20"/>
        </w:rPr>
        <w:t>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lastRenderedPageBreak/>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tcPr>
          <w:p w14:paraId="24E6E800" w14:textId="27CDF83A" w:rsidR="0026338E" w:rsidRPr="008908BB" w:rsidRDefault="003270C4" w:rsidP="001553E8">
            <w:pPr>
              <w:pStyle w:val="Bezriadkovania"/>
              <w:rPr>
                <w:rFonts w:ascii="Arial" w:hAnsi="Arial" w:cs="Arial"/>
                <w:sz w:val="20"/>
                <w:lang w:val="sk-SK"/>
              </w:rPr>
            </w:pPr>
            <w:r>
              <w:rPr>
                <w:rFonts w:ascii="Arial" w:hAnsi="Arial" w:cs="Arial"/>
                <w:sz w:val="20"/>
                <w:lang w:val="sk-SK"/>
              </w:rPr>
              <w:t>Vo Vranove n/T</w:t>
            </w:r>
            <w:r w:rsidR="0026338E" w:rsidRPr="008908BB">
              <w:rPr>
                <w:rFonts w:ascii="Arial" w:hAnsi="Arial" w:cs="Arial"/>
                <w:sz w:val="20"/>
                <w:lang w:val="sk-SK"/>
              </w:rPr>
              <w:t>, dňa .....................</w:t>
            </w:r>
          </w:p>
        </w:tc>
        <w:tc>
          <w:tcPr>
            <w:tcW w:w="1019" w:type="dxa"/>
          </w:tcPr>
          <w:p w14:paraId="495EFB2D" w14:textId="77777777" w:rsidR="0026338E" w:rsidRPr="00977280" w:rsidRDefault="0026338E" w:rsidP="001553E8">
            <w:pPr>
              <w:pStyle w:val="Bezriadkovania"/>
              <w:rPr>
                <w:rFonts w:ascii="Arial" w:hAnsi="Arial" w:cs="Arial"/>
                <w:sz w:val="20"/>
                <w:lang w:val="sk-SK"/>
              </w:rPr>
            </w:pPr>
          </w:p>
        </w:tc>
        <w:tc>
          <w:tcPr>
            <w:tcW w:w="4084" w:type="dxa"/>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tcPr>
          <w:p w14:paraId="5A7C68FF" w14:textId="77777777" w:rsidR="0026338E" w:rsidRPr="00977280" w:rsidRDefault="0026338E" w:rsidP="001553E8">
            <w:pPr>
              <w:spacing w:after="0"/>
              <w:rPr>
                <w:rFonts w:cs="Arial"/>
                <w:szCs w:val="20"/>
              </w:rPr>
            </w:pPr>
          </w:p>
        </w:tc>
        <w:tc>
          <w:tcPr>
            <w:tcW w:w="4081" w:type="dxa"/>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hideMark/>
          </w:tcPr>
          <w:p w14:paraId="5883F7CF" w14:textId="5758CF18" w:rsidR="0026338E" w:rsidRDefault="003270C4" w:rsidP="001553E8">
            <w:pPr>
              <w:tabs>
                <w:tab w:val="left" w:pos="709"/>
                <w:tab w:val="left" w:pos="5387"/>
              </w:tabs>
              <w:spacing w:after="0"/>
              <w:jc w:val="center"/>
              <w:rPr>
                <w:rFonts w:eastAsia="Calibri" w:cs="Arial"/>
                <w:b/>
                <w:szCs w:val="20"/>
              </w:rPr>
            </w:pPr>
            <w:r>
              <w:rPr>
                <w:rFonts w:eastAsia="Calibri" w:cs="Arial"/>
                <w:b/>
                <w:szCs w:val="20"/>
              </w:rPr>
              <w:t>Ing. Jaroslav Uchaľ</w:t>
            </w:r>
            <w:r w:rsidR="0026338E" w:rsidRPr="00AB3B87">
              <w:rPr>
                <w:rFonts w:eastAsia="Calibri" w:cs="Arial"/>
                <w:b/>
                <w:szCs w:val="20"/>
              </w:rPr>
              <w:t xml:space="preserve">  </w:t>
            </w:r>
          </w:p>
          <w:p w14:paraId="32DF6581" w14:textId="666E3FDE" w:rsidR="0026338E" w:rsidRPr="003270C4" w:rsidRDefault="003270C4" w:rsidP="003270C4">
            <w:pPr>
              <w:tabs>
                <w:tab w:val="left" w:pos="709"/>
                <w:tab w:val="left" w:pos="5387"/>
              </w:tabs>
              <w:spacing w:after="0"/>
              <w:jc w:val="center"/>
              <w:rPr>
                <w:rFonts w:eastAsia="Calibri" w:cs="Arial"/>
                <w:szCs w:val="20"/>
              </w:rPr>
            </w:pPr>
            <w:r>
              <w:rPr>
                <w:rFonts w:eastAsia="Calibri" w:cs="Arial"/>
                <w:szCs w:val="20"/>
              </w:rPr>
              <w:t>Riaditeľ OZ Vihorlat</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5D719DE" w:rsidR="006726F5" w:rsidRDefault="006726F5" w:rsidP="00F3067A">
      <w:pPr>
        <w:spacing w:after="0"/>
        <w:jc w:val="center"/>
        <w:rPr>
          <w:rFonts w:cs="Arial"/>
          <w:szCs w:val="20"/>
        </w:rPr>
      </w:pPr>
    </w:p>
    <w:p w14:paraId="28081930" w14:textId="5FD998BF" w:rsidR="00944C2A" w:rsidRDefault="00944C2A" w:rsidP="00F3067A">
      <w:pPr>
        <w:spacing w:after="0"/>
        <w:jc w:val="center"/>
        <w:rPr>
          <w:rFonts w:cs="Arial"/>
          <w:szCs w:val="20"/>
        </w:rPr>
      </w:pPr>
    </w:p>
    <w:p w14:paraId="39C5C71B" w14:textId="19A848F9" w:rsidR="00944C2A" w:rsidRDefault="00944C2A" w:rsidP="00F3067A">
      <w:pPr>
        <w:spacing w:after="0"/>
        <w:jc w:val="center"/>
        <w:rPr>
          <w:rFonts w:cs="Arial"/>
          <w:szCs w:val="20"/>
        </w:rPr>
      </w:pPr>
    </w:p>
    <w:p w14:paraId="68043C57" w14:textId="2CCA9C7E" w:rsidR="00944C2A" w:rsidRDefault="00944C2A" w:rsidP="00F3067A">
      <w:pPr>
        <w:spacing w:after="0"/>
        <w:jc w:val="center"/>
        <w:rPr>
          <w:rFonts w:cs="Arial"/>
          <w:szCs w:val="20"/>
        </w:rPr>
      </w:pPr>
    </w:p>
    <w:p w14:paraId="73E25148" w14:textId="10E8EE3E" w:rsidR="00944C2A" w:rsidRDefault="00944C2A" w:rsidP="00F3067A">
      <w:pPr>
        <w:spacing w:after="0"/>
        <w:jc w:val="center"/>
        <w:rPr>
          <w:rFonts w:cs="Arial"/>
          <w:szCs w:val="20"/>
        </w:rPr>
      </w:pPr>
    </w:p>
    <w:p w14:paraId="53086FCD" w14:textId="453AC913" w:rsidR="00944C2A" w:rsidRDefault="00944C2A" w:rsidP="00F3067A">
      <w:pPr>
        <w:spacing w:after="0"/>
        <w:jc w:val="center"/>
        <w:rPr>
          <w:rFonts w:cs="Arial"/>
          <w:szCs w:val="20"/>
        </w:rPr>
      </w:pPr>
    </w:p>
    <w:p w14:paraId="7B40B3B1" w14:textId="05399536" w:rsidR="00944C2A" w:rsidRDefault="00944C2A" w:rsidP="00F3067A">
      <w:pPr>
        <w:spacing w:after="0"/>
        <w:jc w:val="center"/>
        <w:rPr>
          <w:rFonts w:cs="Arial"/>
          <w:szCs w:val="20"/>
        </w:rPr>
      </w:pPr>
    </w:p>
    <w:p w14:paraId="0D1DEB6C" w14:textId="775D76AB" w:rsidR="00944C2A" w:rsidRDefault="00944C2A" w:rsidP="00F3067A">
      <w:pPr>
        <w:spacing w:after="0"/>
        <w:jc w:val="center"/>
        <w:rPr>
          <w:rFonts w:cs="Arial"/>
          <w:szCs w:val="20"/>
        </w:rPr>
      </w:pPr>
    </w:p>
    <w:p w14:paraId="579E8178" w14:textId="0CB5926F" w:rsidR="00944C2A" w:rsidRDefault="00944C2A" w:rsidP="00F3067A">
      <w:pPr>
        <w:spacing w:after="0"/>
        <w:jc w:val="center"/>
        <w:rPr>
          <w:rFonts w:cs="Arial"/>
          <w:szCs w:val="20"/>
        </w:rPr>
      </w:pPr>
    </w:p>
    <w:p w14:paraId="2CBF72D5" w14:textId="77777777" w:rsidR="00CC147F" w:rsidRDefault="00CC147F" w:rsidP="00F3067A">
      <w:pPr>
        <w:spacing w:after="0"/>
        <w:jc w:val="center"/>
        <w:rPr>
          <w:rFonts w:cs="Arial"/>
          <w:szCs w:val="20"/>
        </w:rPr>
      </w:pPr>
    </w:p>
    <w:p w14:paraId="271E4A9D" w14:textId="6EF36E7D" w:rsidR="00944C2A" w:rsidRDefault="00944C2A" w:rsidP="00F3067A">
      <w:pPr>
        <w:spacing w:after="0"/>
        <w:jc w:val="center"/>
        <w:rPr>
          <w:rFonts w:cs="Arial"/>
          <w:szCs w:val="20"/>
        </w:rPr>
      </w:pPr>
    </w:p>
    <w:p w14:paraId="0BE2AB52" w14:textId="7E67571A" w:rsidR="00944C2A" w:rsidRDefault="00944C2A" w:rsidP="00F3067A">
      <w:pPr>
        <w:spacing w:after="0"/>
        <w:jc w:val="center"/>
        <w:rPr>
          <w:rFonts w:cs="Arial"/>
          <w:szCs w:val="20"/>
        </w:rPr>
      </w:pPr>
    </w:p>
    <w:p w14:paraId="5D858358" w14:textId="399B3C84" w:rsidR="00944C2A" w:rsidRDefault="00944C2A" w:rsidP="00F3067A">
      <w:pPr>
        <w:spacing w:after="0"/>
        <w:jc w:val="center"/>
        <w:rPr>
          <w:rFonts w:cs="Arial"/>
          <w:szCs w:val="20"/>
        </w:rPr>
      </w:pPr>
    </w:p>
    <w:p w14:paraId="136D5B83" w14:textId="393794CC" w:rsidR="00944C2A" w:rsidRDefault="00944C2A" w:rsidP="00F3067A">
      <w:pPr>
        <w:spacing w:after="0"/>
        <w:jc w:val="center"/>
        <w:rPr>
          <w:rFonts w:cs="Arial"/>
          <w:szCs w:val="20"/>
        </w:rPr>
      </w:pPr>
    </w:p>
    <w:p w14:paraId="24542E9B" w14:textId="16E30D7D" w:rsidR="00944C2A" w:rsidRDefault="00944C2A" w:rsidP="00F3067A">
      <w:pPr>
        <w:spacing w:after="0"/>
        <w:jc w:val="center"/>
        <w:rPr>
          <w:rFonts w:cs="Arial"/>
          <w:szCs w:val="20"/>
        </w:rPr>
      </w:pPr>
    </w:p>
    <w:p w14:paraId="1F8932C1" w14:textId="6EF20568" w:rsidR="00944C2A" w:rsidRDefault="00944C2A" w:rsidP="00F3067A">
      <w:pPr>
        <w:spacing w:after="0"/>
        <w:jc w:val="center"/>
        <w:rPr>
          <w:rFonts w:cs="Arial"/>
          <w:szCs w:val="20"/>
        </w:rPr>
      </w:pPr>
    </w:p>
    <w:p w14:paraId="55C662DD" w14:textId="6EBF4F93" w:rsidR="00944C2A" w:rsidRDefault="00944C2A" w:rsidP="00F3067A">
      <w:pPr>
        <w:spacing w:after="0"/>
        <w:jc w:val="center"/>
        <w:rPr>
          <w:rFonts w:cs="Arial"/>
          <w:szCs w:val="20"/>
        </w:rPr>
      </w:pPr>
    </w:p>
    <w:p w14:paraId="3C5C9CDC" w14:textId="0F642FDE" w:rsidR="00944C2A" w:rsidRDefault="00944C2A" w:rsidP="00F3067A">
      <w:pPr>
        <w:spacing w:after="0"/>
        <w:jc w:val="center"/>
        <w:rPr>
          <w:rFonts w:cs="Arial"/>
          <w:szCs w:val="20"/>
        </w:rPr>
      </w:pPr>
    </w:p>
    <w:p w14:paraId="118D1ADD" w14:textId="565A3F4A" w:rsidR="00944C2A" w:rsidRDefault="00944C2A" w:rsidP="00F3067A">
      <w:pPr>
        <w:spacing w:after="0"/>
        <w:jc w:val="center"/>
        <w:rPr>
          <w:rFonts w:cs="Arial"/>
          <w:szCs w:val="20"/>
        </w:rPr>
      </w:pPr>
    </w:p>
    <w:p w14:paraId="5F3AEB3F" w14:textId="26EE1B71" w:rsidR="00944C2A" w:rsidRDefault="00944C2A" w:rsidP="00F3067A">
      <w:pPr>
        <w:spacing w:after="0"/>
        <w:jc w:val="center"/>
        <w:rPr>
          <w:rFonts w:cs="Arial"/>
          <w:szCs w:val="20"/>
        </w:rPr>
      </w:pPr>
    </w:p>
    <w:p w14:paraId="179F9592" w14:textId="57691C44" w:rsidR="00944C2A" w:rsidRDefault="00944C2A" w:rsidP="00F3067A">
      <w:pPr>
        <w:spacing w:after="0"/>
        <w:jc w:val="center"/>
        <w:rPr>
          <w:rFonts w:cs="Arial"/>
          <w:szCs w:val="20"/>
        </w:rPr>
      </w:pPr>
    </w:p>
    <w:p w14:paraId="766E3C29" w14:textId="49A386EF" w:rsidR="00944C2A" w:rsidRDefault="00944C2A" w:rsidP="00F3067A">
      <w:pPr>
        <w:spacing w:after="0"/>
        <w:jc w:val="center"/>
        <w:rPr>
          <w:rFonts w:cs="Arial"/>
          <w:szCs w:val="20"/>
        </w:rPr>
      </w:pPr>
    </w:p>
    <w:p w14:paraId="217C4B54" w14:textId="167A22CE" w:rsidR="00944C2A" w:rsidRDefault="00944C2A" w:rsidP="00F3067A">
      <w:pPr>
        <w:spacing w:after="0"/>
        <w:jc w:val="center"/>
        <w:rPr>
          <w:rFonts w:cs="Arial"/>
          <w:szCs w:val="20"/>
        </w:rPr>
      </w:pPr>
    </w:p>
    <w:p w14:paraId="6695F740" w14:textId="706CD525" w:rsidR="00944C2A" w:rsidRDefault="00944C2A" w:rsidP="00F3067A">
      <w:pPr>
        <w:spacing w:after="0"/>
        <w:jc w:val="center"/>
        <w:rPr>
          <w:rFonts w:cs="Arial"/>
          <w:szCs w:val="20"/>
        </w:rPr>
      </w:pPr>
    </w:p>
    <w:p w14:paraId="1A39EA8C" w14:textId="030266E7" w:rsidR="00944C2A" w:rsidRDefault="00944C2A" w:rsidP="00F3067A">
      <w:pPr>
        <w:spacing w:after="0"/>
        <w:jc w:val="center"/>
        <w:rPr>
          <w:rFonts w:cs="Arial"/>
          <w:szCs w:val="20"/>
        </w:rPr>
      </w:pPr>
    </w:p>
    <w:p w14:paraId="0E326F6F" w14:textId="49B50940" w:rsidR="00944C2A" w:rsidRDefault="00944C2A" w:rsidP="00F3067A">
      <w:pPr>
        <w:spacing w:after="0"/>
        <w:jc w:val="center"/>
        <w:rPr>
          <w:rFonts w:cs="Arial"/>
          <w:szCs w:val="20"/>
        </w:rPr>
      </w:pPr>
    </w:p>
    <w:p w14:paraId="4130A741" w14:textId="4E7EB874" w:rsidR="00944C2A" w:rsidRDefault="00944C2A" w:rsidP="00F3067A">
      <w:pPr>
        <w:spacing w:after="0"/>
        <w:jc w:val="center"/>
        <w:rPr>
          <w:rFonts w:cs="Arial"/>
          <w:szCs w:val="20"/>
        </w:rPr>
      </w:pPr>
    </w:p>
    <w:p w14:paraId="6E772549" w14:textId="35FD2838" w:rsidR="00944C2A" w:rsidRDefault="00944C2A" w:rsidP="00F3067A">
      <w:pPr>
        <w:spacing w:after="0"/>
        <w:jc w:val="center"/>
        <w:rPr>
          <w:rFonts w:cs="Arial"/>
          <w:szCs w:val="20"/>
        </w:rPr>
      </w:pPr>
    </w:p>
    <w:p w14:paraId="4BFCB3FA" w14:textId="77777777" w:rsidR="00944C2A" w:rsidRPr="00977280" w:rsidRDefault="00944C2A" w:rsidP="00F3067A">
      <w:pPr>
        <w:spacing w:after="0"/>
        <w:jc w:val="center"/>
        <w:rPr>
          <w:rFonts w:cs="Arial"/>
          <w:szCs w:val="20"/>
        </w:rPr>
      </w:pPr>
    </w:p>
    <w:sectPr w:rsidR="00944C2A" w:rsidRPr="00977280"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0F3C" w14:textId="77777777" w:rsidR="00AA61FB" w:rsidRDefault="00AA61FB">
      <w:r>
        <w:separator/>
      </w:r>
    </w:p>
  </w:endnote>
  <w:endnote w:type="continuationSeparator" w:id="0">
    <w:p w14:paraId="75848349" w14:textId="77777777" w:rsidR="00AA61FB" w:rsidRDefault="00AA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050A" w14:textId="77777777" w:rsidR="00E967C1" w:rsidRDefault="00E967C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29D0EE03"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D1EB1">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D1EB1">
                    <w:rPr>
                      <w:bCs/>
                      <w:noProof/>
                      <w:sz w:val="18"/>
                      <w:szCs w:val="18"/>
                    </w:rPr>
                    <w:t>7</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9F6B" w14:textId="77777777" w:rsidR="00AA61FB" w:rsidRDefault="00AA61FB">
      <w:r>
        <w:separator/>
      </w:r>
    </w:p>
  </w:footnote>
  <w:footnote w:type="continuationSeparator" w:id="0">
    <w:p w14:paraId="3C0F1738" w14:textId="77777777" w:rsidR="00AA61FB" w:rsidRDefault="00AA6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0E31" w14:textId="77777777" w:rsidR="00E967C1" w:rsidRDefault="00E967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39A7D3C" w14:textId="77777777" w:rsidR="00E967C1" w:rsidRPr="00E967C1" w:rsidRDefault="00E967C1" w:rsidP="00E967C1">
          <w:pPr>
            <w:autoSpaceDE w:val="0"/>
            <w:autoSpaceDN w:val="0"/>
            <w:adjustRightInd w:val="0"/>
            <w:spacing w:after="0" w:line="288" w:lineRule="auto"/>
            <w:jc w:val="center"/>
            <w:textAlignment w:val="center"/>
            <w:rPr>
              <w:rFonts w:eastAsia="Calibri" w:cs="Arial"/>
              <w:b/>
              <w:bCs/>
              <w:color w:val="005941"/>
              <w:sz w:val="32"/>
              <w:szCs w:val="32"/>
              <w:lang w:eastAsia="en-US"/>
            </w:rPr>
          </w:pPr>
          <w:r w:rsidRPr="00E967C1">
            <w:rPr>
              <w:rFonts w:eastAsia="Calibri" w:cs="Arial"/>
              <w:b/>
              <w:bCs/>
              <w:color w:val="005941"/>
              <w:sz w:val="32"/>
              <w:szCs w:val="32"/>
              <w:lang w:eastAsia="en-US"/>
            </w:rPr>
            <w:t>LESY Slovenskej republiky, štátny podnik</w:t>
          </w:r>
        </w:p>
        <w:p w14:paraId="68C33F49" w14:textId="77777777" w:rsidR="00E967C1" w:rsidRPr="00E967C1" w:rsidRDefault="00E967C1" w:rsidP="00E967C1">
          <w:pPr>
            <w:autoSpaceDE w:val="0"/>
            <w:autoSpaceDN w:val="0"/>
            <w:adjustRightInd w:val="0"/>
            <w:spacing w:after="0" w:line="288" w:lineRule="auto"/>
            <w:jc w:val="center"/>
            <w:textAlignment w:val="center"/>
            <w:rPr>
              <w:rFonts w:eastAsia="Calibri" w:cs="Arial"/>
              <w:b/>
              <w:bCs/>
              <w:color w:val="005941"/>
              <w:sz w:val="24"/>
              <w:lang w:eastAsia="en-US"/>
            </w:rPr>
          </w:pPr>
          <w:r w:rsidRPr="00E967C1">
            <w:rPr>
              <w:rFonts w:eastAsia="Calibri" w:cs="Arial"/>
              <w:b/>
              <w:bCs/>
              <w:color w:val="005941"/>
              <w:sz w:val="24"/>
              <w:lang w:eastAsia="en-US"/>
            </w:rPr>
            <w:t>organizačná zložka OZ Vihorlat</w:t>
          </w:r>
        </w:p>
        <w:p w14:paraId="255FC137" w14:textId="77777777" w:rsidR="00E967C1" w:rsidRPr="00E967C1" w:rsidRDefault="00E967C1" w:rsidP="00E967C1">
          <w:pPr>
            <w:autoSpaceDE w:val="0"/>
            <w:autoSpaceDN w:val="0"/>
            <w:adjustRightInd w:val="0"/>
            <w:spacing w:after="0" w:line="288" w:lineRule="auto"/>
            <w:jc w:val="center"/>
            <w:textAlignment w:val="center"/>
            <w:rPr>
              <w:rFonts w:eastAsia="Calibri" w:cs="Arial"/>
              <w:b/>
              <w:bCs/>
              <w:color w:val="005941"/>
              <w:sz w:val="28"/>
              <w:szCs w:val="28"/>
              <w:lang w:eastAsia="en-US"/>
            </w:rPr>
          </w:pPr>
          <w:r w:rsidRPr="00E967C1">
            <w:rPr>
              <w:rFonts w:eastAsia="Calibri" w:cs="Arial"/>
              <w:b/>
              <w:bCs/>
              <w:color w:val="005941"/>
              <w:sz w:val="24"/>
              <w:lang w:eastAsia="en-US"/>
            </w:rPr>
            <w:t>Čemernianska 136, 093 03 Vranov n/T</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260E" w14:textId="77777777" w:rsidR="00E967C1" w:rsidRDefault="00E967C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898976149">
    <w:abstractNumId w:val="72"/>
  </w:num>
  <w:num w:numId="2" w16cid:durableId="357587614">
    <w:abstractNumId w:val="70"/>
  </w:num>
  <w:num w:numId="3" w16cid:durableId="2070181409">
    <w:abstractNumId w:val="81"/>
  </w:num>
  <w:num w:numId="4" w16cid:durableId="412241237">
    <w:abstractNumId w:val="38"/>
  </w:num>
  <w:num w:numId="5" w16cid:durableId="11194611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53251083">
    <w:abstractNumId w:val="32"/>
  </w:num>
  <w:num w:numId="7" w16cid:durableId="740059032">
    <w:abstractNumId w:val="33"/>
  </w:num>
  <w:num w:numId="8" w16cid:durableId="772356383">
    <w:abstractNumId w:val="28"/>
  </w:num>
  <w:num w:numId="9" w16cid:durableId="1564833843">
    <w:abstractNumId w:val="20"/>
  </w:num>
  <w:num w:numId="10" w16cid:durableId="298414483">
    <w:abstractNumId w:val="5"/>
  </w:num>
  <w:num w:numId="11" w16cid:durableId="1553426625">
    <w:abstractNumId w:val="13"/>
  </w:num>
  <w:num w:numId="12" w16cid:durableId="1369648299">
    <w:abstractNumId w:val="111"/>
  </w:num>
  <w:num w:numId="13" w16cid:durableId="711808206">
    <w:abstractNumId w:val="29"/>
  </w:num>
  <w:num w:numId="14" w16cid:durableId="1392342612">
    <w:abstractNumId w:val="54"/>
  </w:num>
  <w:num w:numId="15" w16cid:durableId="1896038342">
    <w:abstractNumId w:val="90"/>
  </w:num>
  <w:num w:numId="16" w16cid:durableId="1317802989">
    <w:abstractNumId w:val="53"/>
  </w:num>
  <w:num w:numId="17" w16cid:durableId="2089224356">
    <w:abstractNumId w:val="77"/>
  </w:num>
  <w:num w:numId="18" w16cid:durableId="1260598390">
    <w:abstractNumId w:val="79"/>
  </w:num>
  <w:num w:numId="19" w16cid:durableId="1689670989">
    <w:abstractNumId w:val="43"/>
  </w:num>
  <w:num w:numId="20" w16cid:durableId="9649158">
    <w:abstractNumId w:val="94"/>
  </w:num>
  <w:num w:numId="21" w16cid:durableId="1135952573">
    <w:abstractNumId w:val="106"/>
  </w:num>
  <w:num w:numId="22" w16cid:durableId="2090227622">
    <w:abstractNumId w:val="71"/>
  </w:num>
  <w:num w:numId="23" w16cid:durableId="910693616">
    <w:abstractNumId w:val="75"/>
  </w:num>
  <w:num w:numId="24" w16cid:durableId="1782458843">
    <w:abstractNumId w:val="69"/>
  </w:num>
  <w:num w:numId="25" w16cid:durableId="813643205">
    <w:abstractNumId w:val="39"/>
  </w:num>
  <w:num w:numId="26" w16cid:durableId="1607807801">
    <w:abstractNumId w:val="110"/>
  </w:num>
  <w:num w:numId="27" w16cid:durableId="487983049">
    <w:abstractNumId w:val="31"/>
  </w:num>
  <w:num w:numId="28" w16cid:durableId="1615403817">
    <w:abstractNumId w:val="58"/>
  </w:num>
  <w:num w:numId="29" w16cid:durableId="942031134">
    <w:abstractNumId w:val="41"/>
  </w:num>
  <w:num w:numId="30" w16cid:durableId="1760101205">
    <w:abstractNumId w:val="23"/>
  </w:num>
  <w:num w:numId="31" w16cid:durableId="731925546">
    <w:abstractNumId w:val="35"/>
  </w:num>
  <w:num w:numId="32" w16cid:durableId="790169158">
    <w:abstractNumId w:val="57"/>
  </w:num>
  <w:num w:numId="33" w16cid:durableId="1308514952">
    <w:abstractNumId w:val="45"/>
  </w:num>
  <w:num w:numId="34" w16cid:durableId="1558004754">
    <w:abstractNumId w:val="36"/>
  </w:num>
  <w:num w:numId="35" w16cid:durableId="1237397278">
    <w:abstractNumId w:val="80"/>
  </w:num>
  <w:num w:numId="36" w16cid:durableId="669792700">
    <w:abstractNumId w:val="11"/>
  </w:num>
  <w:num w:numId="37" w16cid:durableId="670528665">
    <w:abstractNumId w:val="113"/>
  </w:num>
  <w:num w:numId="38" w16cid:durableId="1465270273">
    <w:abstractNumId w:val="65"/>
  </w:num>
  <w:num w:numId="39" w16cid:durableId="1705056295">
    <w:abstractNumId w:val="49"/>
  </w:num>
  <w:num w:numId="40" w16cid:durableId="339815543">
    <w:abstractNumId w:val="88"/>
  </w:num>
  <w:num w:numId="41" w16cid:durableId="2128547243">
    <w:abstractNumId w:val="103"/>
  </w:num>
  <w:num w:numId="42" w16cid:durableId="731006138">
    <w:abstractNumId w:val="15"/>
  </w:num>
  <w:num w:numId="43" w16cid:durableId="735783225">
    <w:abstractNumId w:val="4"/>
  </w:num>
  <w:num w:numId="44" w16cid:durableId="2047682347">
    <w:abstractNumId w:val="119"/>
  </w:num>
  <w:num w:numId="45" w16cid:durableId="64450928">
    <w:abstractNumId w:val="98"/>
  </w:num>
  <w:num w:numId="46" w16cid:durableId="1014963991">
    <w:abstractNumId w:val="48"/>
  </w:num>
  <w:num w:numId="47" w16cid:durableId="469128737">
    <w:abstractNumId w:val="37"/>
  </w:num>
  <w:num w:numId="48" w16cid:durableId="266043276">
    <w:abstractNumId w:val="66"/>
  </w:num>
  <w:num w:numId="49" w16cid:durableId="987397113">
    <w:abstractNumId w:val="24"/>
  </w:num>
  <w:num w:numId="50" w16cid:durableId="302201723">
    <w:abstractNumId w:val="12"/>
  </w:num>
  <w:num w:numId="51" w16cid:durableId="1685401583">
    <w:abstractNumId w:val="116"/>
  </w:num>
  <w:num w:numId="52" w16cid:durableId="767383597">
    <w:abstractNumId w:val="89"/>
  </w:num>
  <w:num w:numId="53" w16cid:durableId="1663583020">
    <w:abstractNumId w:val="107"/>
  </w:num>
  <w:num w:numId="54" w16cid:durableId="769282125">
    <w:abstractNumId w:val="76"/>
  </w:num>
  <w:num w:numId="55" w16cid:durableId="985671360">
    <w:abstractNumId w:val="55"/>
  </w:num>
  <w:num w:numId="56" w16cid:durableId="569464234">
    <w:abstractNumId w:val="59"/>
  </w:num>
  <w:num w:numId="57" w16cid:durableId="762267109">
    <w:abstractNumId w:val="6"/>
  </w:num>
  <w:num w:numId="58" w16cid:durableId="1640258521">
    <w:abstractNumId w:val="67"/>
  </w:num>
  <w:num w:numId="59" w16cid:durableId="1389303553">
    <w:abstractNumId w:val="115"/>
  </w:num>
  <w:num w:numId="60" w16cid:durableId="1863935164">
    <w:abstractNumId w:val="62"/>
  </w:num>
  <w:num w:numId="61" w16cid:durableId="1244336605">
    <w:abstractNumId w:val="93"/>
  </w:num>
  <w:num w:numId="62" w16cid:durableId="1924297660">
    <w:abstractNumId w:val="18"/>
  </w:num>
  <w:num w:numId="63" w16cid:durableId="19959880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37359468">
    <w:abstractNumId w:val="42"/>
  </w:num>
  <w:num w:numId="65" w16cid:durableId="674578619">
    <w:abstractNumId w:val="82"/>
  </w:num>
  <w:num w:numId="66" w16cid:durableId="1761871883">
    <w:abstractNumId w:val="22"/>
  </w:num>
  <w:num w:numId="67" w16cid:durableId="858618587">
    <w:abstractNumId w:val="91"/>
  </w:num>
  <w:num w:numId="68" w16cid:durableId="1576889536">
    <w:abstractNumId w:val="112"/>
  </w:num>
  <w:num w:numId="69" w16cid:durableId="480199166">
    <w:abstractNumId w:val="92"/>
  </w:num>
  <w:num w:numId="70" w16cid:durableId="986478148">
    <w:abstractNumId w:val="9"/>
  </w:num>
  <w:num w:numId="71" w16cid:durableId="1421944088">
    <w:abstractNumId w:val="46"/>
  </w:num>
  <w:num w:numId="72" w16cid:durableId="784731120">
    <w:abstractNumId w:val="96"/>
  </w:num>
  <w:num w:numId="73" w16cid:durableId="1035885493">
    <w:abstractNumId w:val="85"/>
  </w:num>
  <w:num w:numId="74" w16cid:durableId="1961105729">
    <w:abstractNumId w:val="84"/>
  </w:num>
  <w:num w:numId="75" w16cid:durableId="2059665907">
    <w:abstractNumId w:val="30"/>
  </w:num>
  <w:num w:numId="76" w16cid:durableId="1457603470">
    <w:abstractNumId w:val="86"/>
  </w:num>
  <w:num w:numId="77" w16cid:durableId="1546599268">
    <w:abstractNumId w:val="50"/>
  </w:num>
  <w:num w:numId="78" w16cid:durableId="304237675">
    <w:abstractNumId w:val="27"/>
  </w:num>
  <w:num w:numId="79" w16cid:durableId="797651831">
    <w:abstractNumId w:val="100"/>
  </w:num>
  <w:num w:numId="80" w16cid:durableId="2028167647">
    <w:abstractNumId w:val="51"/>
  </w:num>
  <w:num w:numId="81" w16cid:durableId="1191146150">
    <w:abstractNumId w:val="56"/>
  </w:num>
  <w:num w:numId="82" w16cid:durableId="509952656">
    <w:abstractNumId w:val="120"/>
  </w:num>
  <w:num w:numId="83" w16cid:durableId="211772647">
    <w:abstractNumId w:val="61"/>
  </w:num>
  <w:num w:numId="84" w16cid:durableId="226033730">
    <w:abstractNumId w:val="17"/>
  </w:num>
  <w:num w:numId="85" w16cid:durableId="683825227">
    <w:abstractNumId w:val="14"/>
  </w:num>
  <w:num w:numId="86" w16cid:durableId="415592543">
    <w:abstractNumId w:val="73"/>
  </w:num>
  <w:num w:numId="87" w16cid:durableId="1500583277">
    <w:abstractNumId w:val="109"/>
  </w:num>
  <w:num w:numId="88" w16cid:durableId="1789621840">
    <w:abstractNumId w:val="114"/>
  </w:num>
  <w:num w:numId="89" w16cid:durableId="855003719">
    <w:abstractNumId w:val="104"/>
  </w:num>
  <w:num w:numId="90" w16cid:durableId="915288562">
    <w:abstractNumId w:val="117"/>
  </w:num>
  <w:num w:numId="91" w16cid:durableId="848718958">
    <w:abstractNumId w:val="40"/>
  </w:num>
  <w:num w:numId="92" w16cid:durableId="596525087">
    <w:abstractNumId w:val="21"/>
  </w:num>
  <w:num w:numId="93" w16cid:durableId="475415703">
    <w:abstractNumId w:val="8"/>
  </w:num>
  <w:num w:numId="94" w16cid:durableId="1633711786">
    <w:abstractNumId w:val="118"/>
  </w:num>
  <w:num w:numId="95" w16cid:durableId="1808552236">
    <w:abstractNumId w:val="10"/>
  </w:num>
  <w:num w:numId="96" w16cid:durableId="635179240">
    <w:abstractNumId w:val="97"/>
  </w:num>
  <w:num w:numId="97" w16cid:durableId="661395658">
    <w:abstractNumId w:val="68"/>
  </w:num>
  <w:num w:numId="98" w16cid:durableId="661935617">
    <w:abstractNumId w:val="25"/>
  </w:num>
  <w:num w:numId="99" w16cid:durableId="1970865081">
    <w:abstractNumId w:val="2"/>
  </w:num>
  <w:num w:numId="100" w16cid:durableId="1758937549">
    <w:abstractNumId w:val="64"/>
  </w:num>
  <w:num w:numId="101" w16cid:durableId="1622036663">
    <w:abstractNumId w:val="102"/>
  </w:num>
  <w:num w:numId="102" w16cid:durableId="1209416523">
    <w:abstractNumId w:val="60"/>
  </w:num>
  <w:num w:numId="103" w16cid:durableId="14354408">
    <w:abstractNumId w:val="44"/>
  </w:num>
  <w:num w:numId="104" w16cid:durableId="1799254799">
    <w:abstractNumId w:val="87"/>
  </w:num>
  <w:num w:numId="105" w16cid:durableId="2029677252">
    <w:abstractNumId w:val="19"/>
  </w:num>
  <w:num w:numId="106" w16cid:durableId="1219436127">
    <w:abstractNumId w:val="99"/>
  </w:num>
  <w:num w:numId="107" w16cid:durableId="208301936">
    <w:abstractNumId w:val="95"/>
  </w:num>
  <w:num w:numId="108" w16cid:durableId="2007709112">
    <w:abstractNumId w:val="3"/>
  </w:num>
  <w:num w:numId="109" w16cid:durableId="1117524182">
    <w:abstractNumId w:val="63"/>
  </w:num>
  <w:num w:numId="110" w16cid:durableId="535001675">
    <w:abstractNumId w:val="83"/>
  </w:num>
  <w:num w:numId="111" w16cid:durableId="1577205501">
    <w:abstractNumId w:val="47"/>
  </w:num>
  <w:num w:numId="112" w16cid:durableId="1443695000">
    <w:abstractNumId w:val="78"/>
  </w:num>
  <w:num w:numId="113" w16cid:durableId="837692931">
    <w:abstractNumId w:val="74"/>
  </w:num>
  <w:num w:numId="114" w16cid:durableId="561334484">
    <w:abstractNumId w:val="101"/>
  </w:num>
  <w:num w:numId="115" w16cid:durableId="83379834">
    <w:abstractNumId w:val="108"/>
  </w:num>
  <w:num w:numId="116" w16cid:durableId="1358775815">
    <w:abstractNumId w:val="7"/>
  </w:num>
  <w:num w:numId="117" w16cid:durableId="1766345616">
    <w:abstractNumId w:val="16"/>
  </w:num>
  <w:num w:numId="118" w16cid:durableId="1708949389">
    <w:abstractNumId w:val="34"/>
  </w:num>
  <w:num w:numId="119" w16cid:durableId="1516263860">
    <w:abstractNumId w:val="52"/>
  </w:num>
  <w:num w:numId="120" w16cid:durableId="158622049">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799"/>
    <w:rsid w:val="00027D11"/>
    <w:rsid w:val="00027DBA"/>
    <w:rsid w:val="00027FBC"/>
    <w:rsid w:val="00030413"/>
    <w:rsid w:val="00030709"/>
    <w:rsid w:val="000308E3"/>
    <w:rsid w:val="0003096E"/>
    <w:rsid w:val="000309B9"/>
    <w:rsid w:val="00030DBA"/>
    <w:rsid w:val="00031343"/>
    <w:rsid w:val="00033300"/>
    <w:rsid w:val="0003351A"/>
    <w:rsid w:val="00033694"/>
    <w:rsid w:val="00033A0D"/>
    <w:rsid w:val="000343E4"/>
    <w:rsid w:val="00034D7C"/>
    <w:rsid w:val="00035149"/>
    <w:rsid w:val="000352BD"/>
    <w:rsid w:val="000354AA"/>
    <w:rsid w:val="00035B77"/>
    <w:rsid w:val="000364DB"/>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5C17"/>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1F5E"/>
    <w:rsid w:val="000920FC"/>
    <w:rsid w:val="00092E57"/>
    <w:rsid w:val="000930E8"/>
    <w:rsid w:val="0009353D"/>
    <w:rsid w:val="00093ADD"/>
    <w:rsid w:val="00093CB3"/>
    <w:rsid w:val="00093EC9"/>
    <w:rsid w:val="0009406D"/>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6708"/>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7E7"/>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82E"/>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19B"/>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869"/>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761"/>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877"/>
    <w:rsid w:val="002802CD"/>
    <w:rsid w:val="002803FD"/>
    <w:rsid w:val="002804CC"/>
    <w:rsid w:val="00281151"/>
    <w:rsid w:val="00281284"/>
    <w:rsid w:val="00281BE5"/>
    <w:rsid w:val="002835F8"/>
    <w:rsid w:val="00283814"/>
    <w:rsid w:val="00283958"/>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C4"/>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3F9D"/>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6F90"/>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5EB0"/>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420"/>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64"/>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97C2F"/>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177"/>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08B"/>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4DA8"/>
    <w:rsid w:val="005B5959"/>
    <w:rsid w:val="005B5A02"/>
    <w:rsid w:val="005B6AF3"/>
    <w:rsid w:val="005B7477"/>
    <w:rsid w:val="005B764E"/>
    <w:rsid w:val="005C0272"/>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15E"/>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AEC"/>
    <w:rsid w:val="005F3DA5"/>
    <w:rsid w:val="005F3E1C"/>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4FA2"/>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3D21"/>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2EE7"/>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3D89"/>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2F2F"/>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21A"/>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4C1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10E"/>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7"/>
    <w:rsid w:val="00957E9D"/>
    <w:rsid w:val="009604E1"/>
    <w:rsid w:val="00960978"/>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636"/>
    <w:rsid w:val="00976E39"/>
    <w:rsid w:val="00977280"/>
    <w:rsid w:val="0097744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3C46"/>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1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61FB"/>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6A3D"/>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20"/>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1C9C"/>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6B4"/>
    <w:rsid w:val="00C22925"/>
    <w:rsid w:val="00C22C58"/>
    <w:rsid w:val="00C22F32"/>
    <w:rsid w:val="00C22FF8"/>
    <w:rsid w:val="00C23B91"/>
    <w:rsid w:val="00C245CB"/>
    <w:rsid w:val="00C2519C"/>
    <w:rsid w:val="00C25639"/>
    <w:rsid w:val="00C25AEB"/>
    <w:rsid w:val="00C25B81"/>
    <w:rsid w:val="00C25B96"/>
    <w:rsid w:val="00C262D7"/>
    <w:rsid w:val="00C26531"/>
    <w:rsid w:val="00C269E5"/>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2D99"/>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3F8"/>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4FC8"/>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A2D"/>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298"/>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27C"/>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ECC"/>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CC3"/>
    <w:rsid w:val="00E70E08"/>
    <w:rsid w:val="00E716DD"/>
    <w:rsid w:val="00E727A4"/>
    <w:rsid w:val="00E72CDA"/>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7C1"/>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B1"/>
    <w:rsid w:val="00ED1EF9"/>
    <w:rsid w:val="00ED2B55"/>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2938"/>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3FA"/>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605"/>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0C8E"/>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1FFF5-4E1B-492F-A7C5-BE04AA6F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2749</Words>
  <Characters>16854</Characters>
  <Application>Microsoft Office Word</Application>
  <DocSecurity>0</DocSecurity>
  <Lines>374</Lines>
  <Paragraphs>188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19415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28</cp:revision>
  <cp:lastPrinted>2024-03-07T08:46:00Z</cp:lastPrinted>
  <dcterms:created xsi:type="dcterms:W3CDTF">2025-11-28T08:45:00Z</dcterms:created>
  <dcterms:modified xsi:type="dcterms:W3CDTF">2026-04-24T11:45:00Z</dcterms:modified>
  <cp:category>EIZ</cp:category>
</cp:coreProperties>
</file>