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A8FFC9E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4481653C" w14:textId="47FD1B9A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</w:t>
      </w:r>
      <w:r w:rsidR="009F716D">
        <w:rPr>
          <w:rFonts w:ascii="Arial Narrow" w:hAnsi="Arial Narrow"/>
          <w:b w:val="0"/>
          <w:sz w:val="22"/>
          <w:szCs w:val="22"/>
          <w:lang w:val="sk-SK"/>
        </w:rPr>
        <w:t>00</w:t>
      </w:r>
      <w:r w:rsidR="00F2642D">
        <w:rPr>
          <w:rFonts w:ascii="Arial Narrow" w:hAnsi="Arial Narrow"/>
          <w:b w:val="0"/>
          <w:sz w:val="22"/>
          <w:szCs w:val="22"/>
          <w:lang w:val="sk-SK"/>
        </w:rPr>
        <w:t>1787-002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094536D4" w14:textId="34A6E3CB" w:rsidR="004A36A4" w:rsidRPr="00F2642D" w:rsidRDefault="003348C6" w:rsidP="00F2642D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Cs w:val="22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F2642D" w:rsidRPr="00F2642D">
        <w:rPr>
          <w:rFonts w:ascii="Arial Narrow" w:hAnsi="Arial Narrow"/>
          <w:b w:val="0"/>
          <w:bCs/>
          <w:sz w:val="22"/>
          <w:szCs w:val="22"/>
          <w:lang w:val="sk-SK"/>
        </w:rPr>
        <w:t>https://josephine.proebiz.com/sk/promoter/tender/78382/general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105ACC7" w:rsidR="00DD4EEC" w:rsidRPr="00B359CE" w:rsidRDefault="009F716D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Materiál pre potreby Štátneho archívu Nitra</w:t>
      </w:r>
    </w:p>
    <w:p w14:paraId="1322346F" w14:textId="06405537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04DF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14:paraId="0F2D2105" w14:textId="04C46276" w:rsidR="00D704DF" w:rsidRDefault="00DD4EEC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704DF">
        <w:rPr>
          <w:rFonts w:ascii="Arial Narrow" w:hAnsi="Arial Narrow"/>
          <w:b w:val="0"/>
          <w:smallCaps/>
          <w:sz w:val="22"/>
          <w:szCs w:val="22"/>
          <w:lang w:val="sk-SK"/>
        </w:rPr>
        <w:t>30192000-1 kancelárske potreby</w:t>
      </w:r>
    </w:p>
    <w:p w14:paraId="350018DC" w14:textId="7AC3C09F" w:rsidR="00D704DF" w:rsidRDefault="00D704DF" w:rsidP="00CA2E56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30193400-2  knižné zarážky</w:t>
      </w:r>
    </w:p>
    <w:p w14:paraId="0B3FAA2F" w14:textId="77777777" w:rsidR="00D704DF" w:rsidRDefault="00D704DF" w:rsidP="00D704DF">
      <w:pPr>
        <w:ind w:left="502"/>
        <w:rPr>
          <w:rFonts w:ascii="Arial Narrow" w:hAnsi="Arial Narrow"/>
          <w:b w:val="0"/>
          <w:smallCaps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30199500-5 škatuľové zaraďovače, listové priehradky, </w:t>
      </w:r>
    </w:p>
    <w:p w14:paraId="73772B93" w14:textId="77777777" w:rsidR="00D704DF" w:rsidRDefault="00D704DF" w:rsidP="00D704DF">
      <w:pPr>
        <w:ind w:left="4248"/>
        <w:rPr>
          <w:rFonts w:ascii="Arial Narrow" w:hAnsi="Arial Narrow"/>
          <w:b w:val="0"/>
          <w:smallCaps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 skladovacie škatule, podobné výrobky</w:t>
      </w:r>
    </w:p>
    <w:p w14:paraId="0FB82DB6" w14:textId="6A68C337" w:rsidR="00D704DF" w:rsidRDefault="00D704DF" w:rsidP="00D704DF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30192800-9 samolepiace etikety</w:t>
      </w:r>
    </w:p>
    <w:p w14:paraId="4DEA6848" w14:textId="3D599DCB" w:rsidR="00D704DF" w:rsidRDefault="00D704DF" w:rsidP="00D704DF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  <w:t xml:space="preserve">             </w:t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ab/>
      </w:r>
    </w:p>
    <w:p w14:paraId="22423E26" w14:textId="515869D9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9BC5BB" w14:textId="77777777" w:rsidR="000A6DAD" w:rsidRDefault="000A6DAD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BEFF5AD" w14:textId="77777777" w:rsidR="000A6DAD" w:rsidRPr="00B359CE" w:rsidRDefault="000A6DAD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24FAB904"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– Štátny archív Nitra, Novozámocká 273 Iv</w:t>
      </w:r>
      <w:r w:rsidR="00AD3631">
        <w:rPr>
          <w:rFonts w:ascii="Arial Narrow" w:hAnsi="Arial Narrow"/>
          <w:b w:val="0"/>
          <w:iCs/>
          <w:sz w:val="22"/>
          <w:szCs w:val="22"/>
          <w:lang w:val="sk-SK" w:bidi="en-US"/>
        </w:rPr>
        <w:t>a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>nka pri N</w:t>
      </w:r>
      <w:r w:rsidR="00AD3631">
        <w:rPr>
          <w:rFonts w:ascii="Arial Narrow" w:hAnsi="Arial Narrow"/>
          <w:b w:val="0"/>
          <w:iCs/>
          <w:sz w:val="22"/>
          <w:szCs w:val="22"/>
          <w:lang w:val="sk-SK" w:bidi="en-US"/>
        </w:rPr>
        <w:t>i</w:t>
      </w:r>
      <w:r w:rsidR="00D704DF">
        <w:rPr>
          <w:rFonts w:ascii="Arial Narrow" w:hAnsi="Arial Narrow"/>
          <w:b w:val="0"/>
          <w:iCs/>
          <w:sz w:val="22"/>
          <w:szCs w:val="22"/>
          <w:lang w:val="sk-SK" w:bidi="en-US"/>
        </w:rPr>
        <w:t>tre</w:t>
      </w:r>
    </w:p>
    <w:p w14:paraId="3C95F4DA" w14:textId="77777777" w:rsidR="000A6DAD" w:rsidRDefault="000A6DAD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14:paraId="0C9B2DF3" w14:textId="77777777" w:rsidR="000A6DAD" w:rsidRPr="00B359CE" w:rsidRDefault="000A6DAD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7C5BB112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Termín plnenia zákazky bude najneskôr do </w:t>
      </w:r>
      <w:r w:rsidR="00D704DF">
        <w:rPr>
          <w:rFonts w:ascii="Arial Narrow" w:hAnsi="Arial Narrow"/>
          <w:b w:val="0"/>
          <w:sz w:val="22"/>
          <w:szCs w:val="22"/>
          <w:lang w:val="sk-SK"/>
        </w:rPr>
        <w:t>30.10.2026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alebo do vyčerpania prideleného finančného limitu, podľa toho ktorá udalosť nastane skôr.</w:t>
      </w:r>
    </w:p>
    <w:p w14:paraId="0D10A606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4EDA61BC" w14:textId="77777777" w:rsidR="000A6DAD" w:rsidRDefault="000A6DAD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5AF403A0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3B58BB69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54411423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41E1C593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5F6BC0E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3E21F48B" w14:textId="77777777" w:rsidR="00AD3631" w:rsidRDefault="00AD3631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975C63A" w14:textId="65991E08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D7C71C0" w14:textId="77777777" w:rsidR="00D704DF" w:rsidRPr="00132C01" w:rsidRDefault="00D704DF" w:rsidP="00D704DF">
      <w:pPr>
        <w:spacing w:before="60"/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1"/>
        <w:gridCol w:w="3626"/>
        <w:gridCol w:w="1216"/>
        <w:gridCol w:w="1051"/>
        <w:gridCol w:w="1183"/>
        <w:gridCol w:w="1145"/>
      </w:tblGrid>
      <w:tr w:rsidR="00D704DF" w14:paraId="4337A0BC" w14:textId="77777777" w:rsidTr="00DA3474">
        <w:tc>
          <w:tcPr>
            <w:tcW w:w="846" w:type="dxa"/>
          </w:tcPr>
          <w:p w14:paraId="0A24B330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46" w:type="dxa"/>
          </w:tcPr>
          <w:p w14:paraId="3CFAE326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obstarania</w:t>
            </w:r>
          </w:p>
        </w:tc>
        <w:tc>
          <w:tcPr>
            <w:tcW w:w="1176" w:type="dxa"/>
          </w:tcPr>
          <w:p w14:paraId="7FE8F0CF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Množstvo ks/bal</w:t>
            </w:r>
          </w:p>
        </w:tc>
        <w:tc>
          <w:tcPr>
            <w:tcW w:w="1055" w:type="dxa"/>
          </w:tcPr>
          <w:p w14:paraId="266B2465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1 ks bez DPH</w:t>
            </w:r>
          </w:p>
        </w:tc>
        <w:tc>
          <w:tcPr>
            <w:tcW w:w="1189" w:type="dxa"/>
          </w:tcPr>
          <w:p w14:paraId="775FFF72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1 ks s DPH</w:t>
            </w:r>
          </w:p>
        </w:tc>
        <w:tc>
          <w:tcPr>
            <w:tcW w:w="1150" w:type="dxa"/>
          </w:tcPr>
          <w:p w14:paraId="38D7A091" w14:textId="77777777" w:rsidR="00D704DF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spolu s DPH</w:t>
            </w:r>
          </w:p>
        </w:tc>
      </w:tr>
      <w:tr w:rsidR="00D704DF" w:rsidRPr="00AF4242" w14:paraId="34EF9AAC" w14:textId="77777777" w:rsidTr="00DA3474">
        <w:tc>
          <w:tcPr>
            <w:tcW w:w="846" w:type="dxa"/>
          </w:tcPr>
          <w:p w14:paraId="481E1FC4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 w:rsidRPr="00AF4242"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1.</w:t>
            </w:r>
          </w:p>
        </w:tc>
        <w:tc>
          <w:tcPr>
            <w:tcW w:w="3646" w:type="dxa"/>
          </w:tcPr>
          <w:p w14:paraId="46B58961" w14:textId="77777777" w:rsidR="00D704DF" w:rsidRPr="00D704DF" w:rsidRDefault="00D704DF" w:rsidP="00DA3474">
            <w:pPr>
              <w:spacing w:before="60"/>
              <w:rPr>
                <w:rStyle w:val="Vrazn"/>
                <w:rFonts w:cs="Times New Roman"/>
                <w:b/>
                <w:bCs w:val="0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TRANSPARENTNÁ SAMOLEPIACA PAPIEROVÁ PÁSKA 50M x 2 cm s</w:t>
            </w:r>
            <w:r w:rsidRPr="00D704DF">
              <w:rPr>
                <w:rStyle w:val="Vrazn"/>
                <w:rFonts w:cs="Times New Roman"/>
                <w:b/>
                <w:bCs w:val="0"/>
                <w:color w:val="000000"/>
                <w:szCs w:val="18"/>
                <w:lang w:val="en"/>
              </w:rPr>
              <w:t xml:space="preserve"> dispezerom</w:t>
            </w:r>
          </w:p>
          <w:p w14:paraId="3D642CA6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FILMOPLAT P</w:t>
            </w:r>
          </w:p>
          <w:p w14:paraId="4711B10C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-  neobsahujúca kyslé a drevité látky, gramáž 20g/m2.</w:t>
            </w:r>
          </w:p>
          <w:p w14:paraId="0CC203E9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Páska je odolná voči starnutiu a žltnutiu. Permanentne elastická, pH neutrálne lepidlo obsahuje alkalickú rezervu vo forme CaCO3</w:t>
            </w:r>
          </w:p>
          <w:p w14:paraId="0A1CC05D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176" w:type="dxa"/>
          </w:tcPr>
          <w:p w14:paraId="0C0C648A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55" w:type="dxa"/>
          </w:tcPr>
          <w:p w14:paraId="5279B0D0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14:paraId="2180FB9F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14:paraId="6C41D75A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7F64DE2D" w14:textId="77777777" w:rsidTr="00DA3474">
        <w:tc>
          <w:tcPr>
            <w:tcW w:w="846" w:type="dxa"/>
          </w:tcPr>
          <w:p w14:paraId="670D7F70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2.</w:t>
            </w:r>
          </w:p>
        </w:tc>
        <w:tc>
          <w:tcPr>
            <w:tcW w:w="3646" w:type="dxa"/>
          </w:tcPr>
          <w:p w14:paraId="0BDEEC6B" w14:textId="77777777" w:rsidR="00D704DF" w:rsidRPr="00D704DF" w:rsidRDefault="00D704DF" w:rsidP="00DA3474">
            <w:pPr>
              <w:spacing w:before="60"/>
              <w:rPr>
                <w:rStyle w:val="Vrazn"/>
                <w:rFonts w:cs="Times New Roman"/>
                <w:b/>
                <w:bCs w:val="0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TRANSPARENTNÁ SAMOLEPIACA PAPIEROVÁ PÁSKA 5</w:t>
            </w:r>
            <w:r w:rsidRPr="00D704DF">
              <w:rPr>
                <w:rStyle w:val="Vrazn"/>
                <w:rFonts w:cs="Times New Roman"/>
                <w:b/>
                <w:bCs w:val="0"/>
                <w:color w:val="000000"/>
                <w:szCs w:val="18"/>
                <w:lang w:val="en"/>
              </w:rPr>
              <w:t>0m x 1,3 cm besdispezeru</w:t>
            </w:r>
          </w:p>
          <w:p w14:paraId="02207A99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FILMOPLAT P</w:t>
            </w:r>
          </w:p>
          <w:p w14:paraId="330BFC20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 xml:space="preserve">-  </w:t>
            </w: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neobsahujúca kyslé a drevité látky, gramáž 20g/m2.</w:t>
            </w:r>
          </w:p>
          <w:p w14:paraId="6DD42879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Páska je odolná voči starnutiu a žltnutiu. Permanentne elastická, pH neutrálne lepidlo obsahuje alkalickú rezervu vo forme CaCO3</w:t>
            </w:r>
          </w:p>
          <w:p w14:paraId="7F219A6C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1176" w:type="dxa"/>
          </w:tcPr>
          <w:p w14:paraId="472E13C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1</w:t>
            </w:r>
          </w:p>
        </w:tc>
        <w:tc>
          <w:tcPr>
            <w:tcW w:w="1055" w:type="dxa"/>
          </w:tcPr>
          <w:p w14:paraId="4DBA6EF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0440159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2988C7C7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79FFCD58" w14:textId="77777777" w:rsidTr="00DA3474">
        <w:tc>
          <w:tcPr>
            <w:tcW w:w="846" w:type="dxa"/>
          </w:tcPr>
          <w:p w14:paraId="5BAC7016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b/>
                <w:color w:val="000000"/>
                <w:sz w:val="24"/>
                <w:szCs w:val="18"/>
                <w:lang w:val="en"/>
              </w:rPr>
              <w:t>3.</w:t>
            </w:r>
          </w:p>
        </w:tc>
        <w:tc>
          <w:tcPr>
            <w:tcW w:w="3646" w:type="dxa"/>
          </w:tcPr>
          <w:p w14:paraId="0154F30F" w14:textId="77777777" w:rsidR="00D704DF" w:rsidRPr="00D704DF" w:rsidRDefault="00D704DF" w:rsidP="00DA3474">
            <w:pPr>
              <w:spacing w:before="60"/>
              <w:rPr>
                <w:rStyle w:val="Vrazn"/>
                <w:rFonts w:cs="Times New Roman"/>
                <w:b/>
                <w:bCs w:val="0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TRANSPARENTNÁ SAMOLEPIACA PAPIEROVÁ PÁSKA 31m x2,5 cm  </w:t>
            </w:r>
          </w:p>
          <w:p w14:paraId="32FD2B9D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FILMOPLAT P</w:t>
            </w:r>
          </w:p>
          <w:p w14:paraId="357F0379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 xml:space="preserve">-  </w:t>
            </w: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neobsahujúca kyslé a drevité látky, gramáž 20g/m2.</w:t>
            </w:r>
          </w:p>
          <w:p w14:paraId="64B50B57" w14:textId="77777777" w:rsidR="00D704DF" w:rsidRPr="00AD3631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</w:pPr>
            <w:r w:rsidRPr="00AD3631">
              <w:rPr>
                <w:rStyle w:val="Vrazn"/>
                <w:rFonts w:ascii="Times New Roman" w:hAnsi="Times New Roman" w:cs="Times New Roman"/>
                <w:color w:val="000000"/>
                <w:sz w:val="20"/>
                <w:szCs w:val="16"/>
                <w:lang w:val="en"/>
              </w:rPr>
              <w:t>Páska je odolná voči starnutiu a žltnutiu. Permanentne elastická, pH neutrálne lepidlo obsahuje alkalickú rezervu vo forme CaCO3</w:t>
            </w:r>
          </w:p>
          <w:p w14:paraId="1080EA9D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1176" w:type="dxa"/>
          </w:tcPr>
          <w:p w14:paraId="3CB552F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2</w:t>
            </w:r>
          </w:p>
        </w:tc>
        <w:tc>
          <w:tcPr>
            <w:tcW w:w="1055" w:type="dxa"/>
          </w:tcPr>
          <w:p w14:paraId="133D9878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3D0EDDEE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7E64BEFC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4A6F20E0" w14:textId="77777777" w:rsidTr="00DA3474">
        <w:tc>
          <w:tcPr>
            <w:tcW w:w="846" w:type="dxa"/>
          </w:tcPr>
          <w:p w14:paraId="6575964A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  <w:p w14:paraId="6B136F52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4.</w:t>
            </w:r>
          </w:p>
        </w:tc>
        <w:tc>
          <w:tcPr>
            <w:tcW w:w="3646" w:type="dxa"/>
          </w:tcPr>
          <w:p w14:paraId="63A27FD8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  <w:p w14:paraId="6C0F6067" w14:textId="57252904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SAMOL</w:t>
            </w: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E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PIACA OPRAVA PÁSKA Z TKANÉHO PLÁTNA 10m x 3 cm 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FILMOPLAST T – HNEDÝ</w:t>
            </w:r>
          </w:p>
          <w:p w14:paraId="24F22E94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333333"/>
                <w:sz w:val="21"/>
                <w:szCs w:val="21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Samolepiaca opravná pásky z tkaného plátna, 240 μm silná, pH neutrálna lepiaca vrstva. Ideálna pre spevňovanie  a opravy chrbátov a dosiek kníh, zadných strán map a plánov. Vhodné i pre výrobu paspart, pre protiprachové lemovanie a dekoratívne úpravy paspart a rámčekov.</w:t>
            </w:r>
          </w:p>
        </w:tc>
        <w:tc>
          <w:tcPr>
            <w:tcW w:w="1176" w:type="dxa"/>
          </w:tcPr>
          <w:p w14:paraId="79F1B19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4837C9A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1</w:t>
            </w:r>
          </w:p>
        </w:tc>
        <w:tc>
          <w:tcPr>
            <w:tcW w:w="1055" w:type="dxa"/>
          </w:tcPr>
          <w:p w14:paraId="1F40AC38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0F1BA6EE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32DFAFFC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6989E6F8" w14:textId="77777777" w:rsidTr="00DA3474">
        <w:tc>
          <w:tcPr>
            <w:tcW w:w="846" w:type="dxa"/>
          </w:tcPr>
          <w:p w14:paraId="31479D75" w14:textId="77777777" w:rsidR="00AD3631" w:rsidRDefault="00AD3631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  <w:p w14:paraId="280440F9" w14:textId="77777777" w:rsidR="00AD3631" w:rsidRDefault="00AD3631" w:rsidP="00DA3474">
            <w:pPr>
              <w:spacing w:before="60"/>
              <w:rPr>
                <w:rStyle w:val="Vrazn"/>
                <w:rFonts w:ascii="Times New Roman" w:hAnsi="Times New Roman"/>
                <w:color w:val="000000"/>
                <w:szCs w:val="18"/>
                <w:lang w:val="en"/>
              </w:rPr>
            </w:pPr>
          </w:p>
          <w:p w14:paraId="244D1269" w14:textId="2370589D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5.</w:t>
            </w:r>
          </w:p>
        </w:tc>
        <w:tc>
          <w:tcPr>
            <w:tcW w:w="3646" w:type="dxa"/>
          </w:tcPr>
          <w:p w14:paraId="3C3DC1A1" w14:textId="77777777" w:rsidR="00AD3631" w:rsidRDefault="00AD3631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</w:pPr>
          </w:p>
          <w:p w14:paraId="3BC8023D" w14:textId="463D644D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lastRenderedPageBreak/>
              <w:t>SAMOL</w:t>
            </w: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E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PIACA OPRAVA PÁSKA Z TKANÉHO PLÁTNA 10m x 3 cm 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FILMOPLAST T – ČIERNY</w:t>
            </w:r>
          </w:p>
          <w:p w14:paraId="030AAB91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Samolepiaca opravná pásky z tkaného plátna, 240 μm silná, pH neutrálna lepiaca vrstva. Ideálna pre spevňovanie  a opravy chrbátov a dosiek kníh, zadných strán map a plánov. Vhodné i pre výrobu paspart, pre protiprachové lemovanie a dekoratívne úpravy paspart a rámčekov.</w:t>
            </w:r>
          </w:p>
        </w:tc>
        <w:tc>
          <w:tcPr>
            <w:tcW w:w="1176" w:type="dxa"/>
          </w:tcPr>
          <w:p w14:paraId="31700D2E" w14:textId="77777777" w:rsidR="00AD3631" w:rsidRDefault="00AD3631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18FEDCF9" w14:textId="77777777" w:rsidR="00AD3631" w:rsidRDefault="00AD3631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4B647F24" w14:textId="32B65C4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6</w:t>
            </w:r>
          </w:p>
        </w:tc>
        <w:tc>
          <w:tcPr>
            <w:tcW w:w="1055" w:type="dxa"/>
          </w:tcPr>
          <w:p w14:paraId="696E5B0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49A6E8F2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234357BE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61EE3F03" w14:textId="77777777" w:rsidTr="00DA3474">
        <w:tc>
          <w:tcPr>
            <w:tcW w:w="846" w:type="dxa"/>
          </w:tcPr>
          <w:p w14:paraId="6A6E94DA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6.</w:t>
            </w:r>
          </w:p>
        </w:tc>
        <w:tc>
          <w:tcPr>
            <w:tcW w:w="3646" w:type="dxa"/>
          </w:tcPr>
          <w:p w14:paraId="2F516A74" w14:textId="29783723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SAMOL</w:t>
            </w:r>
            <w:r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>E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PIACA OPRAVA PÁSKA Z TKANÉHO PLÁTNA 10m x 8cm 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FILMOPLAST T – ČERNY</w:t>
            </w:r>
          </w:p>
          <w:p w14:paraId="616DB643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Samolepiaca opravná pásky z tkaného plátna, 240 μm silná,  pH neutrálna lepiaca vrstva. Ideálna pre spevňovanie  a opravy chrbátov a dosiek kníh, zadných strán map a plánov. Vhodné i pre výrobu paspart, pre protiprachové lemovanie a dekoratívne úpravy paspart a rámčekov.</w:t>
            </w:r>
          </w:p>
        </w:tc>
        <w:tc>
          <w:tcPr>
            <w:tcW w:w="1176" w:type="dxa"/>
          </w:tcPr>
          <w:p w14:paraId="48F6052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  <w:highlight w:val="yellow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6</w:t>
            </w:r>
          </w:p>
        </w:tc>
        <w:tc>
          <w:tcPr>
            <w:tcW w:w="1055" w:type="dxa"/>
          </w:tcPr>
          <w:p w14:paraId="21316B3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7FEAC49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6C85BE9B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39AE5785" w14:textId="77777777" w:rsidTr="00DA3474">
        <w:tc>
          <w:tcPr>
            <w:tcW w:w="846" w:type="dxa"/>
          </w:tcPr>
          <w:p w14:paraId="0BF435ED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7.</w:t>
            </w:r>
          </w:p>
        </w:tc>
        <w:tc>
          <w:tcPr>
            <w:tcW w:w="3646" w:type="dxa"/>
          </w:tcPr>
          <w:p w14:paraId="32C584CA" w14:textId="7706F9FE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color w:val="000000"/>
                <w:szCs w:val="18"/>
                <w:lang w:val="en"/>
              </w:rPr>
              <w:t xml:space="preserve">SAMOLEPIACA OPRAVA PÁSKA Z TKANÉHO PLÁTNA 10m x 5 cm ekvivalent </w:t>
            </w:r>
            <w:r w:rsidRPr="00D704DF">
              <w:rPr>
                <w:rStyle w:val="Vrazn"/>
                <w:rFonts w:ascii="Times New Roman" w:hAnsi="Times New Roman" w:cs="Times New Roman"/>
                <w:b/>
                <w:bCs w:val="0"/>
                <w:i/>
                <w:color w:val="000000"/>
                <w:szCs w:val="18"/>
                <w:lang w:val="en"/>
              </w:rPr>
              <w:t>FILMOPLAST T – ČIERNY</w:t>
            </w:r>
          </w:p>
          <w:p w14:paraId="5E83FBFE" w14:textId="77777777" w:rsidR="00D704DF" w:rsidRP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Samolepiaca opravná pásky z tkaného plátna, 240 μm silná,  pH neutrálna lepiaca vrstva. Ideálna pre spevňovanie  a opravy chrbátov a dosiek kníh, zadných strán map a plánov. Vhodné i pre výrobu paspart, pre protiprachové lemovanie a dekoratívne úpravy paspart a rámčekov.</w:t>
            </w:r>
          </w:p>
        </w:tc>
        <w:tc>
          <w:tcPr>
            <w:tcW w:w="1176" w:type="dxa"/>
          </w:tcPr>
          <w:p w14:paraId="08672B7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6</w:t>
            </w:r>
          </w:p>
        </w:tc>
        <w:tc>
          <w:tcPr>
            <w:tcW w:w="1055" w:type="dxa"/>
          </w:tcPr>
          <w:p w14:paraId="78FB7F85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635804DB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42BF22FF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34F48806" w14:textId="77777777" w:rsidTr="00DA3474">
        <w:tc>
          <w:tcPr>
            <w:tcW w:w="846" w:type="dxa"/>
          </w:tcPr>
          <w:p w14:paraId="70605CB5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8.</w:t>
            </w:r>
          </w:p>
        </w:tc>
        <w:tc>
          <w:tcPr>
            <w:tcW w:w="3646" w:type="dxa"/>
          </w:tcPr>
          <w:p w14:paraId="3BD19253" w14:textId="2AE44071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D704DF">
              <w:rPr>
                <w:rFonts w:ascii="Times New Roman" w:hAnsi="Times New Roman" w:cs="Times New Roman"/>
                <w:szCs w:val="20"/>
              </w:rPr>
              <w:t>olyesterová fólia, 100 µm, 123 cm x 25 m  ekvivalent MELIMEX 401</w:t>
            </w:r>
          </w:p>
          <w:p w14:paraId="71E75CAE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100% polyesterová fólia, pre dlhodobú ochranu archívnych dokumentov, tlačív, kníh a listín v depozitároch alebo pri vystavovaní. Veľmi dobre ochráni pred prachom, špinou, odtlačkami prstov  a iným znečistením. Vysoko transparentná, inertná a chemicky i rozmerovo stabilná, nestarne a nežltne</w:t>
            </w:r>
            <w:r w:rsidRPr="00D704DF"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.</w:t>
            </w:r>
          </w:p>
        </w:tc>
        <w:tc>
          <w:tcPr>
            <w:tcW w:w="1176" w:type="dxa"/>
          </w:tcPr>
          <w:p w14:paraId="53DB79F1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1</w:t>
            </w:r>
          </w:p>
        </w:tc>
        <w:tc>
          <w:tcPr>
            <w:tcW w:w="1055" w:type="dxa"/>
          </w:tcPr>
          <w:p w14:paraId="25E200C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6A4466D2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5D297DA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1BC630B5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1D475CB5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55BC5422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2BEBF4FF" w14:textId="77777777" w:rsidTr="00DA3474">
        <w:tc>
          <w:tcPr>
            <w:tcW w:w="846" w:type="dxa"/>
          </w:tcPr>
          <w:p w14:paraId="241328B2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9.</w:t>
            </w:r>
          </w:p>
        </w:tc>
        <w:tc>
          <w:tcPr>
            <w:tcW w:w="3646" w:type="dxa"/>
          </w:tcPr>
          <w:p w14:paraId="0E0CF854" w14:textId="73A89563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</w:rPr>
            </w:pPr>
            <w:r w:rsidRPr="00D704DF">
              <w:rPr>
                <w:rFonts w:ascii="Times New Roman" w:hAnsi="Times New Roman" w:cs="Times New Roman"/>
                <w:color w:val="333333"/>
              </w:rPr>
              <w:t>Obojstranne lepiaca fólia 50m x 2,5 cm ekvivalent GUDY DOT TAPE</w:t>
            </w:r>
          </w:p>
          <w:p w14:paraId="229F62D1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  <w:t>je 98 mikrónov silná, transparentná , s bodovým akrylátovým lepidlom na vodnej báze. Pomocou easy dot®-transfer technológie možno vytvoriť a veľmi jednoducho nalepiť fotografie, tlačivá alebo plagáty na rôzne povrchy, bez nežiadúcich bublín a estetických chýb.. Bodové lepidlo sa po skončení požadovanej dĺžky  aplikácie a po zložení ľahko mechanicky odstráni zotretím.</w:t>
            </w:r>
          </w:p>
        </w:tc>
        <w:tc>
          <w:tcPr>
            <w:tcW w:w="1176" w:type="dxa"/>
          </w:tcPr>
          <w:p w14:paraId="579EBD8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  <w:r w:rsidRPr="00D704DF">
              <w:rPr>
                <w:rFonts w:ascii="Times New Roman" w:hAnsi="Times New Roman"/>
                <w:b w:val="0"/>
                <w:bCs/>
                <w:sz w:val="24"/>
              </w:rPr>
              <w:t>4</w:t>
            </w:r>
          </w:p>
        </w:tc>
        <w:tc>
          <w:tcPr>
            <w:tcW w:w="1055" w:type="dxa"/>
          </w:tcPr>
          <w:p w14:paraId="7FD9901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587A07CA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5C89C233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195AE2B8" w14:textId="77777777" w:rsidTr="00DA3474">
        <w:tc>
          <w:tcPr>
            <w:tcW w:w="846" w:type="dxa"/>
          </w:tcPr>
          <w:p w14:paraId="1622A5A5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lastRenderedPageBreak/>
              <w:t>10.</w:t>
            </w:r>
          </w:p>
        </w:tc>
        <w:tc>
          <w:tcPr>
            <w:tcW w:w="3646" w:type="dxa"/>
          </w:tcPr>
          <w:p w14:paraId="4A395799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  <w:szCs w:val="20"/>
                <w:lang w:val="en"/>
              </w:rPr>
            </w:pPr>
            <w:r w:rsidRPr="00D704DF">
              <w:rPr>
                <w:rFonts w:ascii="Times New Roman" w:hAnsi="Times New Roman" w:cs="Times New Roman"/>
                <w:color w:val="333333"/>
                <w:szCs w:val="20"/>
                <w:lang w:val="en"/>
              </w:rPr>
              <w:t>Obojstranná páska DS 12 33m x 2,5 cm</w:t>
            </w:r>
          </w:p>
          <w:p w14:paraId="14E26C51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  <w:t>Transparentná obojstranne lepiaca páska, s permanentne elastickým lepidlom, 50 μm, odolná proti starnutiu bez obsahu rozpúšťadiel vhodné pre výrobu popisov, označenia orientačných nápisov  v knižniciach, podlepovanie fotografií, plagátov letákov a ďalšie univerzálne použitie.</w:t>
            </w:r>
          </w:p>
        </w:tc>
        <w:tc>
          <w:tcPr>
            <w:tcW w:w="1176" w:type="dxa"/>
          </w:tcPr>
          <w:p w14:paraId="4D6209D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055" w:type="dxa"/>
          </w:tcPr>
          <w:p w14:paraId="4520293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7DDAE27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512F2994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13C400A1" w14:textId="77777777" w:rsidTr="00DA3474">
        <w:tc>
          <w:tcPr>
            <w:tcW w:w="846" w:type="dxa"/>
          </w:tcPr>
          <w:p w14:paraId="4EB8590D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11.</w:t>
            </w:r>
          </w:p>
        </w:tc>
        <w:tc>
          <w:tcPr>
            <w:tcW w:w="3646" w:type="dxa"/>
          </w:tcPr>
          <w:p w14:paraId="113D2802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D704DF">
              <w:rPr>
                <w:rFonts w:ascii="Times New Roman" w:hAnsi="Times New Roman" w:cs="Times New Roman"/>
                <w:color w:val="333333"/>
                <w:szCs w:val="20"/>
              </w:rPr>
              <w:t xml:space="preserve">Samolepiace ochranné krídelka  do šírky chrbáta 5,7 cm ekvivalent </w:t>
            </w:r>
            <w:r w:rsidRPr="00D704DF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EasyWINGS  </w:t>
            </w:r>
          </w:p>
          <w:p w14:paraId="723497DC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  <w:t xml:space="preserve">pre spevnenie rohov  a chrbta kníh, časopisov a katalogov, 50 μm silné, vyrobené z polyesteru s patentovanou stredovou perforáciou pre jednoduchšie umiestnenie a odstránenie  podkladového papiera. Nekyslé, nežltnúce lepidlo. </w:t>
            </w:r>
          </w:p>
          <w:p w14:paraId="66B2C988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4"/>
                <w:szCs w:val="21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  <w:t>Balenie 50 ks</w:t>
            </w:r>
          </w:p>
        </w:tc>
        <w:tc>
          <w:tcPr>
            <w:tcW w:w="1176" w:type="dxa"/>
          </w:tcPr>
          <w:p w14:paraId="73EA54E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055" w:type="dxa"/>
          </w:tcPr>
          <w:p w14:paraId="7FC8DED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581AAB4F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122AEC9D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40419F06" w14:textId="77777777" w:rsidTr="00DA3474">
        <w:tc>
          <w:tcPr>
            <w:tcW w:w="846" w:type="dxa"/>
          </w:tcPr>
          <w:p w14:paraId="6158DFCD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12.</w:t>
            </w:r>
          </w:p>
        </w:tc>
        <w:tc>
          <w:tcPr>
            <w:tcW w:w="3646" w:type="dxa"/>
          </w:tcPr>
          <w:p w14:paraId="298EA7F8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  <w:szCs w:val="20"/>
              </w:rPr>
            </w:pPr>
            <w:r w:rsidRPr="00D704DF">
              <w:rPr>
                <w:rFonts w:ascii="Times New Roman" w:hAnsi="Times New Roman" w:cs="Times New Roman"/>
                <w:color w:val="333333"/>
                <w:szCs w:val="20"/>
              </w:rPr>
              <w:t>Samolepiace  etikety s pH neutrálnym permanentným lepidlom 48,5 mm x 25,4 mm</w:t>
            </w:r>
          </w:p>
          <w:p w14:paraId="60CEAF88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</w:pPr>
            <w:r w:rsidRPr="00D704DF">
              <w:rPr>
                <w:rFonts w:ascii="Times New Roman" w:hAnsi="Times New Roman" w:cs="Times New Roman"/>
                <w:b w:val="0"/>
                <w:bCs/>
                <w:color w:val="333333"/>
                <w:szCs w:val="20"/>
              </w:rPr>
              <w:t xml:space="preserve"> </w:t>
            </w: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Ktoré odoláva vysokým teplotám pri tlači v laserových tlačiarňach,  udržuje si tu najvyššiu lepivosť na rôznych povrchoch. Etikety sú vyrobené  z nekyslého papiera s pH 7,1</w:t>
            </w:r>
          </w:p>
          <w:p w14:paraId="7430D775" w14:textId="4AF3E9FD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Cs w:val="20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počet etikiet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na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hárku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44, </w:t>
            </w:r>
            <w:r w:rsidR="000A6DAD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v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balení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100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hárkov</w:t>
            </w:r>
            <w:proofErr w:type="spellEnd"/>
          </w:p>
        </w:tc>
        <w:tc>
          <w:tcPr>
            <w:tcW w:w="1176" w:type="dxa"/>
          </w:tcPr>
          <w:p w14:paraId="10C6A8A8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055" w:type="dxa"/>
          </w:tcPr>
          <w:p w14:paraId="3040DFF7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43DCE3A4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0C15ED69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546CDFE8" w14:textId="77777777" w:rsidTr="00DA3474">
        <w:tc>
          <w:tcPr>
            <w:tcW w:w="846" w:type="dxa"/>
          </w:tcPr>
          <w:p w14:paraId="307E86C4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13.</w:t>
            </w:r>
          </w:p>
        </w:tc>
        <w:tc>
          <w:tcPr>
            <w:tcW w:w="3646" w:type="dxa"/>
          </w:tcPr>
          <w:p w14:paraId="0104E207" w14:textId="77777777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  <w:szCs w:val="20"/>
              </w:rPr>
            </w:pPr>
            <w:r w:rsidRPr="00D704DF">
              <w:rPr>
                <w:rFonts w:ascii="Times New Roman" w:hAnsi="Times New Roman" w:cs="Times New Roman"/>
                <w:color w:val="333333"/>
                <w:szCs w:val="20"/>
              </w:rPr>
              <w:t>Samolepiace  etikety s pH neutrálnym permanentným lepidlom 70 mmx 36 mm</w:t>
            </w:r>
          </w:p>
          <w:p w14:paraId="335FCB55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Ktoré odoláva vysokým teplotám pri tlači v laserových tlačiarňach,  udržuje si tu najvyššiu lepivosť na rôznych povrchoch. Etikety sú vyrobené  z nekyslého papiera s pH 7,1</w:t>
            </w:r>
          </w:p>
          <w:p w14:paraId="7D085CD5" w14:textId="6DAD2B0B" w:rsidR="00D704DF" w:rsidRPr="00D704DF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4"/>
                <w:szCs w:val="21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počet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etikiet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na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hárku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</w:t>
            </w:r>
            <w:r w:rsidR="000A6DAD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2</w:t>
            </w: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4, </w:t>
            </w:r>
            <w:r w:rsidR="000A6DAD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v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balení</w:t>
            </w:r>
            <w:proofErr w:type="spellEnd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 xml:space="preserve"> 100 </w:t>
            </w:r>
            <w:proofErr w:type="spellStart"/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</w:rPr>
              <w:t>hárkov</w:t>
            </w:r>
            <w:proofErr w:type="spellEnd"/>
          </w:p>
        </w:tc>
        <w:tc>
          <w:tcPr>
            <w:tcW w:w="1176" w:type="dxa"/>
          </w:tcPr>
          <w:p w14:paraId="44DE64BB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055" w:type="dxa"/>
          </w:tcPr>
          <w:p w14:paraId="22CB3A38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6985397A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36FAF3EF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601F0F16" w14:textId="77777777" w:rsidTr="00DA3474">
        <w:tc>
          <w:tcPr>
            <w:tcW w:w="846" w:type="dxa"/>
          </w:tcPr>
          <w:p w14:paraId="6FD69714" w14:textId="77777777" w:rsidR="00D704DF" w:rsidRPr="001517D5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highlight w:val="yellow"/>
                <w:lang w:val="en"/>
              </w:rPr>
            </w:pPr>
            <w:r w:rsidRPr="00D704DF"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14.</w:t>
            </w:r>
          </w:p>
        </w:tc>
        <w:tc>
          <w:tcPr>
            <w:tcW w:w="3646" w:type="dxa"/>
          </w:tcPr>
          <w:p w14:paraId="166EC544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  <w:lang w:val="en"/>
              </w:rPr>
            </w:pPr>
            <w:r w:rsidRPr="00AD3631">
              <w:rPr>
                <w:rFonts w:ascii="Times New Roman" w:hAnsi="Times New Roman" w:cs="Times New Roman"/>
                <w:color w:val="333333"/>
                <w:szCs w:val="20"/>
                <w:lang w:val="en"/>
              </w:rPr>
              <w:t xml:space="preserve">Euroklip </w:t>
            </w: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Cs w:val="20"/>
                <w:lang w:val="en"/>
              </w:rPr>
              <w:t xml:space="preserve">-  </w:t>
            </w: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  <w:lang w:val="en"/>
              </w:rPr>
              <w:t>moderná a elegantná pomôcka pre jednoduché a rýchle zarámovanie fotografií, reprodukcií, certifikátov a pod,</w:t>
            </w:r>
          </w:p>
          <w:p w14:paraId="329283DE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i/>
                <w:color w:val="333333"/>
                <w:sz w:val="20"/>
                <w:szCs w:val="18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i/>
                <w:color w:val="333333"/>
                <w:sz w:val="20"/>
                <w:szCs w:val="18"/>
                <w:lang w:val="en"/>
              </w:rPr>
              <w:t>Vyrobené z  plexiskla</w:t>
            </w:r>
          </w:p>
          <w:p w14:paraId="39D99E0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18"/>
                <w:lang w:val="en"/>
              </w:rPr>
              <w:t>Rozmer 70x100  cm</w:t>
            </w:r>
          </w:p>
        </w:tc>
        <w:tc>
          <w:tcPr>
            <w:tcW w:w="1176" w:type="dxa"/>
          </w:tcPr>
          <w:p w14:paraId="6C90968F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10</w:t>
            </w:r>
          </w:p>
        </w:tc>
        <w:tc>
          <w:tcPr>
            <w:tcW w:w="1055" w:type="dxa"/>
          </w:tcPr>
          <w:p w14:paraId="01ECDD3F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76F05F93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7E8F7240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3BD471E0" w14:textId="77777777" w:rsidTr="00DA3474">
        <w:tc>
          <w:tcPr>
            <w:tcW w:w="846" w:type="dxa"/>
          </w:tcPr>
          <w:p w14:paraId="2292B95A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15.</w:t>
            </w:r>
          </w:p>
        </w:tc>
        <w:tc>
          <w:tcPr>
            <w:tcW w:w="3646" w:type="dxa"/>
          </w:tcPr>
          <w:p w14:paraId="71DD7CEC" w14:textId="77777777" w:rsidR="00D704DF" w:rsidRPr="00AD3631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704DF">
              <w:rPr>
                <w:rFonts w:ascii="Times New Roman" w:hAnsi="Times New Roman"/>
              </w:rPr>
              <w:t>Knižná zarážka L  - stredná</w:t>
            </w:r>
            <w:r w:rsidRPr="00D704DF">
              <w:rPr>
                <w:rFonts w:ascii="Times New Roman" w:hAnsi="Times New Roman"/>
                <w:b w:val="0"/>
                <w:bCs/>
              </w:rPr>
              <w:t xml:space="preserve"> - 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vyrobená zo 1 mm silného plechu, povrch ošetrený bielou práškovou farbou</w:t>
            </w:r>
          </w:p>
          <w:p w14:paraId="590E51A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Rozmer 140x180x220  mm</w:t>
            </w:r>
          </w:p>
        </w:tc>
        <w:tc>
          <w:tcPr>
            <w:tcW w:w="1176" w:type="dxa"/>
          </w:tcPr>
          <w:p w14:paraId="155F97D7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10</w:t>
            </w:r>
          </w:p>
        </w:tc>
        <w:tc>
          <w:tcPr>
            <w:tcW w:w="1055" w:type="dxa"/>
          </w:tcPr>
          <w:p w14:paraId="0F50C59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28B9B57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77741848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3485690E" w14:textId="77777777" w:rsidTr="00DA3474">
        <w:tc>
          <w:tcPr>
            <w:tcW w:w="846" w:type="dxa"/>
          </w:tcPr>
          <w:p w14:paraId="6021719E" w14:textId="77777777" w:rsid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16.</w:t>
            </w:r>
          </w:p>
        </w:tc>
        <w:tc>
          <w:tcPr>
            <w:tcW w:w="3646" w:type="dxa"/>
          </w:tcPr>
          <w:p w14:paraId="7E10B308" w14:textId="77777777" w:rsidR="00D704DF" w:rsidRPr="00AD3631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AD3631">
              <w:rPr>
                <w:rFonts w:ascii="Times New Roman" w:hAnsi="Times New Roman"/>
                <w:sz w:val="20"/>
                <w:szCs w:val="20"/>
              </w:rPr>
              <w:t>Knižná zarážka L  - veľká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 xml:space="preserve"> - vyrobená zo 1 mm silného plechu, povrch ošetrený bielou práškovou farbou</w:t>
            </w:r>
          </w:p>
          <w:p w14:paraId="61B124AD" w14:textId="77777777" w:rsidR="00D704DF" w:rsidRPr="00AD3631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Rozmer 210x210x290  mm</w:t>
            </w:r>
          </w:p>
        </w:tc>
        <w:tc>
          <w:tcPr>
            <w:tcW w:w="1176" w:type="dxa"/>
          </w:tcPr>
          <w:p w14:paraId="63D8FAE7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 xml:space="preserve">10 </w:t>
            </w:r>
          </w:p>
        </w:tc>
        <w:tc>
          <w:tcPr>
            <w:tcW w:w="1055" w:type="dxa"/>
          </w:tcPr>
          <w:p w14:paraId="161E6C01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28220E0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3D81B83A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1FD4B90D" w14:textId="77777777" w:rsidTr="00DA3474">
        <w:tc>
          <w:tcPr>
            <w:tcW w:w="846" w:type="dxa"/>
          </w:tcPr>
          <w:p w14:paraId="7D1C0BB5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lastRenderedPageBreak/>
              <w:t>17.</w:t>
            </w:r>
          </w:p>
        </w:tc>
        <w:tc>
          <w:tcPr>
            <w:tcW w:w="3646" w:type="dxa"/>
          </w:tcPr>
          <w:p w14:paraId="37FA25DA" w14:textId="77777777" w:rsidR="00D704DF" w:rsidRPr="00AD3631" w:rsidRDefault="00D704DF" w:rsidP="00DA3474">
            <w:pPr>
              <w:spacing w:before="60"/>
              <w:rPr>
                <w:rFonts w:ascii="Helvetica" w:hAnsi="Helvetica" w:cs="Arial"/>
                <w:b w:val="0"/>
                <w:bCs/>
                <w:noProof/>
                <w:color w:val="333333"/>
                <w:sz w:val="17"/>
                <w:szCs w:val="20"/>
                <w:lang w:eastAsia="sk-SK"/>
              </w:rPr>
            </w:pPr>
            <w:r w:rsidRPr="00D704DF">
              <w:rPr>
                <w:rFonts w:ascii="Times New Roman" w:hAnsi="Times New Roman"/>
              </w:rPr>
              <w:t xml:space="preserve">Stojan dvojitý na </w:t>
            </w:r>
            <w:r w:rsidRPr="00D704DF">
              <w:rPr>
                <w:rFonts w:ascii="Times New Roman" w:hAnsi="Times New Roman"/>
                <w:u w:val="single"/>
              </w:rPr>
              <w:t xml:space="preserve">výšku </w:t>
            </w:r>
            <w:r w:rsidRPr="00D704DF">
              <w:rPr>
                <w:rFonts w:ascii="Times New Roman" w:hAnsi="Times New Roman"/>
              </w:rPr>
              <w:t>A4</w:t>
            </w:r>
            <w:r w:rsidRPr="00D704DF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Stojan z číreho  plexiskla, zdvojený s priestorom na vloženie letáku.</w:t>
            </w:r>
          </w:p>
          <w:p w14:paraId="128AE2DB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b w:val="0"/>
                <w:bCs/>
                <w:noProof/>
              </w:rPr>
              <w:drawing>
                <wp:inline distT="0" distB="0" distL="0" distR="0" wp14:anchorId="33DF61AE" wp14:editId="1BB326D5">
                  <wp:extent cx="675503" cy="47752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784" cy="49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14:paraId="752DAA0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10</w:t>
            </w:r>
          </w:p>
        </w:tc>
        <w:tc>
          <w:tcPr>
            <w:tcW w:w="1055" w:type="dxa"/>
          </w:tcPr>
          <w:p w14:paraId="73E17AE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2C35DDF2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29904C88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24324A57" w14:textId="77777777" w:rsidTr="00DA3474">
        <w:trPr>
          <w:trHeight w:val="1817"/>
        </w:trPr>
        <w:tc>
          <w:tcPr>
            <w:tcW w:w="846" w:type="dxa"/>
          </w:tcPr>
          <w:p w14:paraId="3ECBF1AD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18.</w:t>
            </w:r>
          </w:p>
        </w:tc>
        <w:tc>
          <w:tcPr>
            <w:tcW w:w="3646" w:type="dxa"/>
          </w:tcPr>
          <w:p w14:paraId="31035E67" w14:textId="77777777" w:rsidR="00D704DF" w:rsidRPr="00AD3631" w:rsidRDefault="00D704DF" w:rsidP="00DA3474">
            <w:pPr>
              <w:spacing w:before="60"/>
              <w:rPr>
                <w:rFonts w:ascii="Helvetica" w:hAnsi="Helvetica" w:cs="Arial"/>
                <w:b w:val="0"/>
                <w:bCs/>
                <w:noProof/>
                <w:color w:val="333333"/>
                <w:sz w:val="17"/>
                <w:szCs w:val="20"/>
                <w:lang w:eastAsia="sk-SK"/>
              </w:rPr>
            </w:pPr>
            <w:r w:rsidRPr="00D704DF">
              <w:rPr>
                <w:rFonts w:ascii="Times New Roman" w:hAnsi="Times New Roman"/>
              </w:rPr>
              <w:t xml:space="preserve">Stojan dvojitý na </w:t>
            </w:r>
            <w:r w:rsidRPr="00D704DF">
              <w:rPr>
                <w:rFonts w:ascii="Times New Roman" w:hAnsi="Times New Roman"/>
                <w:u w:val="single"/>
              </w:rPr>
              <w:t xml:space="preserve">šírku </w:t>
            </w:r>
            <w:r w:rsidRPr="00D704DF">
              <w:rPr>
                <w:rFonts w:ascii="Times New Roman" w:hAnsi="Times New Roman"/>
              </w:rPr>
              <w:t>A4</w:t>
            </w:r>
            <w:r w:rsidRPr="00D704DF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Stojan z číreho  plexiskla, zdvojený s priestorom na vloženie letáku.</w:t>
            </w:r>
          </w:p>
          <w:p w14:paraId="6949661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b w:val="0"/>
                <w:bCs/>
                <w:noProof/>
              </w:rPr>
              <w:drawing>
                <wp:inline distT="0" distB="0" distL="0" distR="0" wp14:anchorId="42E56BF5" wp14:editId="766B60C8">
                  <wp:extent cx="675503" cy="477520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784" cy="49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14:paraId="3FDF586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10</w:t>
            </w:r>
          </w:p>
        </w:tc>
        <w:tc>
          <w:tcPr>
            <w:tcW w:w="1055" w:type="dxa"/>
          </w:tcPr>
          <w:p w14:paraId="76502B08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7C8FBF2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31A50EB7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5F069484" w14:textId="77777777" w:rsidTr="00DA3474">
        <w:tc>
          <w:tcPr>
            <w:tcW w:w="846" w:type="dxa"/>
          </w:tcPr>
          <w:p w14:paraId="385AA680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19.</w:t>
            </w:r>
          </w:p>
        </w:tc>
        <w:tc>
          <w:tcPr>
            <w:tcW w:w="3646" w:type="dxa"/>
          </w:tcPr>
          <w:p w14:paraId="08B24D80" w14:textId="77777777" w:rsidR="00D704DF" w:rsidRPr="00AD3631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704DF">
              <w:rPr>
                <w:rFonts w:ascii="Times New Roman" w:hAnsi="Times New Roman"/>
              </w:rPr>
              <w:t>Stojan na knihy formát A4</w:t>
            </w:r>
            <w:r w:rsidRPr="00D704DF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z plexiskla Axpet</w:t>
            </w:r>
          </w:p>
          <w:p w14:paraId="3B53E88A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Helvetica" w:hAnsi="Helvetica" w:cs="Helvetica"/>
                <w:b w:val="0"/>
                <w:bCs/>
                <w:noProof/>
                <w:color w:val="333333"/>
                <w:sz w:val="21"/>
                <w:szCs w:val="21"/>
                <w:lang w:eastAsia="sk-SK"/>
              </w:rPr>
              <w:drawing>
                <wp:inline distT="0" distB="0" distL="0" distR="0" wp14:anchorId="106CBD23" wp14:editId="36A0B185">
                  <wp:extent cx="686825" cy="527538"/>
                  <wp:effectExtent l="0" t="0" r="0" b="6350"/>
                  <wp:docPr id="4" name="Obrázok 4" descr="https://eshop.ceiba.sk/images_content/1599/801-O-stojanek-na-knihy-10708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shop.ceiba.sk/images_content/1599/801-O-stojanek-na-knihy-10708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370" cy="5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14:paraId="1D0CC316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10</w:t>
            </w:r>
          </w:p>
        </w:tc>
        <w:tc>
          <w:tcPr>
            <w:tcW w:w="1055" w:type="dxa"/>
          </w:tcPr>
          <w:p w14:paraId="0DA4EB60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0AE68730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48DCF096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0BBA9A37" w14:textId="77777777" w:rsidTr="00DA3474">
        <w:tc>
          <w:tcPr>
            <w:tcW w:w="846" w:type="dxa"/>
          </w:tcPr>
          <w:p w14:paraId="1A7C669E" w14:textId="77777777" w:rsidR="00D704DF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20.</w:t>
            </w:r>
          </w:p>
        </w:tc>
        <w:tc>
          <w:tcPr>
            <w:tcW w:w="3646" w:type="dxa"/>
          </w:tcPr>
          <w:p w14:paraId="31798CFF" w14:textId="77777777" w:rsidR="00D704DF" w:rsidRPr="00AD3631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704DF">
              <w:rPr>
                <w:rFonts w:ascii="Times New Roman" w:hAnsi="Times New Roman"/>
              </w:rPr>
              <w:t>Opierka na otvorenú knihu A4</w:t>
            </w:r>
            <w:r w:rsidRPr="00D704DF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AD3631">
              <w:rPr>
                <w:rFonts w:ascii="Times New Roman" w:hAnsi="Times New Roman"/>
                <w:b w:val="0"/>
                <w:bCs/>
                <w:sz w:val="20"/>
                <w:szCs w:val="20"/>
              </w:rPr>
              <w:t>z plexiskla</w:t>
            </w:r>
          </w:p>
          <w:p w14:paraId="1F22E50F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b w:val="0"/>
                <w:bCs/>
                <w:noProof/>
              </w:rPr>
              <w:drawing>
                <wp:inline distT="0" distB="0" distL="0" distR="0" wp14:anchorId="4DC711EF" wp14:editId="6907D6C3">
                  <wp:extent cx="790575" cy="659027"/>
                  <wp:effectExtent l="0" t="0" r="0" b="825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44" cy="66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14:paraId="18BA42C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055" w:type="dxa"/>
          </w:tcPr>
          <w:p w14:paraId="3CA1577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14A625E9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45092AC5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5B2584A4" w14:textId="77777777" w:rsidTr="00DA3474">
        <w:tc>
          <w:tcPr>
            <w:tcW w:w="846" w:type="dxa"/>
          </w:tcPr>
          <w:p w14:paraId="10BAF0DF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21.</w:t>
            </w:r>
          </w:p>
        </w:tc>
        <w:tc>
          <w:tcPr>
            <w:tcW w:w="3646" w:type="dxa"/>
          </w:tcPr>
          <w:p w14:paraId="6EB75A06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</w:pPr>
            <w:r w:rsidRPr="00AD3631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Archívna krabica vhodná pre uloženie pergamenových listín vyrobená z archívnej vlnitej  lepenky o hrúbke 1,6 mm.</w:t>
            </w:r>
          </w:p>
          <w:p w14:paraId="0B058F2B" w14:textId="5119AD0F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Krabice je vyroben</w:t>
            </w:r>
            <w:r w:rsidR="00AD3631"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á</w:t>
            </w: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 xml:space="preserve"> :</w:t>
            </w:r>
          </w:p>
          <w:p w14:paraId="6F52292E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Zadná strana  KLUGCorrugated board E-flute- svetlo šedá/biela farba, hrúbky 1,6mm, 560 g/m2, formát 100 x 172cm.</w:t>
            </w:r>
          </w:p>
          <w:p w14:paraId="3E02AB45" w14:textId="77777777" w:rsidR="00D704DF" w:rsidRPr="00AD3631" w:rsidRDefault="00D704DF" w:rsidP="00DA3474">
            <w:pPr>
              <w:spacing w:before="60"/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Zadná strana KLUG je veľmi obľúbená  archívna alkalická vlnitá lepenka určená špeciálne pre zadnú stranu  pri  pasprtovaní a výrobu krabic. Je vyrobená z veľmi odolného materiálu 100% alphacelulóza, odľahčená. Bez použitia zjasňovadel, lignin-free, pH 8-9,5, splňuje PAT test a ISO9706. Jednotlivé vrstvy lepenky sú lepené  k sebe špeciálne ošetreným pH neutrálnym vodeodolným lepidom, ktoré v prípade poškodenia  garantuje odolnosť proti vode minimálne 24 hodín.Rozmer 240x400x35 mm</w:t>
            </w:r>
          </w:p>
        </w:tc>
        <w:tc>
          <w:tcPr>
            <w:tcW w:w="1176" w:type="dxa"/>
          </w:tcPr>
          <w:p w14:paraId="07713CBA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highlight w:val="yellow"/>
              </w:rPr>
            </w:pPr>
            <w:r w:rsidRPr="00AD3631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055" w:type="dxa"/>
          </w:tcPr>
          <w:p w14:paraId="1E336A10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189" w:type="dxa"/>
          </w:tcPr>
          <w:p w14:paraId="3578AE05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71B8D738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73A6D2A5" w14:textId="77777777" w:rsidTr="00DA3474">
        <w:tc>
          <w:tcPr>
            <w:tcW w:w="846" w:type="dxa"/>
          </w:tcPr>
          <w:p w14:paraId="495E66D0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22.</w:t>
            </w:r>
          </w:p>
        </w:tc>
        <w:tc>
          <w:tcPr>
            <w:tcW w:w="3646" w:type="dxa"/>
          </w:tcPr>
          <w:p w14:paraId="459B0E3B" w14:textId="77777777" w:rsidR="00D704DF" w:rsidRPr="00AD3631" w:rsidRDefault="00D704DF" w:rsidP="00DA3474">
            <w:pPr>
              <w:spacing w:line="300" w:lineRule="atLeast"/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0"/>
                <w:szCs w:val="20"/>
                <w:lang w:val="en" w:eastAsia="sk-SK"/>
              </w:rPr>
            </w:pPr>
            <w:r w:rsidRPr="00AD36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" w:eastAsia="sk-SK"/>
              </w:rPr>
              <w:t>Transparentné obálky</w:t>
            </w:r>
            <w:r w:rsidRPr="00AD3631"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0"/>
                <w:szCs w:val="20"/>
                <w:lang w:val="en" w:eastAsia="sk-SK"/>
              </w:rPr>
              <w:t xml:space="preserve"> -  Obal obálkového typu v tvare U  odolný voči starnutiu bez alkalickej rezervy, vyrobený z transparentného fotografického archivneho papieru. Obálka se otvára na dlhšej strane. Vhodné pro archiváciu fotografií, negativov a sklíčok. Papier aj </w:t>
            </w:r>
            <w:r w:rsidRPr="00AD3631"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0"/>
                <w:szCs w:val="20"/>
                <w:lang w:val="en" w:eastAsia="sk-SK"/>
              </w:rPr>
              <w:lastRenderedPageBreak/>
              <w:t>lepidlo prešli testovaním fotografickej aktivity (PAT) v súlade s ISO 18916.</w:t>
            </w:r>
          </w:p>
          <w:p w14:paraId="687DD103" w14:textId="77777777" w:rsidR="00D704DF" w:rsidRPr="00AD3631" w:rsidRDefault="00D704DF" w:rsidP="00DA3474">
            <w:pPr>
              <w:spacing w:line="300" w:lineRule="atLeast"/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0"/>
                <w:szCs w:val="20"/>
                <w:lang w:val="en" w:eastAsia="sk-SK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</w:rPr>
              <w:t>priehľadná, archívny papier, váha 40 gsm, bez alkalické rezervy, vonkajší rozmer: 146/135 x 190 mm, formát 13 x 18 cm</w:t>
            </w:r>
            <w:r w:rsidRPr="00AD3631">
              <w:rPr>
                <w:rFonts w:ascii="Helvetica" w:hAnsi="Helvetica" w:cs="Helvetica"/>
                <w:b w:val="0"/>
                <w:bCs/>
                <w:color w:val="333333"/>
                <w:sz w:val="20"/>
                <w:szCs w:val="20"/>
              </w:rPr>
              <w:t xml:space="preserve"> </w:t>
            </w:r>
            <w:r w:rsidRPr="00AD3631">
              <w:rPr>
                <w:rFonts w:ascii="Times New Roman" w:hAnsi="Times New Roman" w:cs="Times New Roman"/>
                <w:b w:val="0"/>
                <w:bCs/>
                <w:i/>
                <w:color w:val="333333"/>
                <w:sz w:val="20"/>
                <w:szCs w:val="20"/>
              </w:rPr>
              <w:t>balenie 100 ks</w:t>
            </w:r>
          </w:p>
        </w:tc>
        <w:tc>
          <w:tcPr>
            <w:tcW w:w="1176" w:type="dxa"/>
          </w:tcPr>
          <w:p w14:paraId="3DC8494A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1055" w:type="dxa"/>
          </w:tcPr>
          <w:p w14:paraId="47B0769F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57C38A53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039E86D2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5376920D" w14:textId="77777777" w:rsidTr="00DA3474">
        <w:tc>
          <w:tcPr>
            <w:tcW w:w="846" w:type="dxa"/>
          </w:tcPr>
          <w:p w14:paraId="61EBF229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  <w:r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  <w:t>23.</w:t>
            </w:r>
          </w:p>
        </w:tc>
        <w:tc>
          <w:tcPr>
            <w:tcW w:w="3646" w:type="dxa"/>
          </w:tcPr>
          <w:p w14:paraId="33B5F03A" w14:textId="77777777" w:rsidR="00D704DF" w:rsidRPr="00AD3631" w:rsidRDefault="00D704DF" w:rsidP="00DA3474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val="en" w:eastAsia="sk-SK"/>
              </w:rPr>
            </w:pPr>
            <w:r w:rsidRPr="00AD3631">
              <w:rPr>
                <w:rFonts w:ascii="Times New Roman" w:eastAsia="Times New Roman" w:hAnsi="Times New Roman" w:cs="Times New Roman"/>
                <w:color w:val="333333"/>
                <w:lang w:val="en" w:eastAsia="sk-SK"/>
              </w:rPr>
              <w:t>Suchý zips</w:t>
            </w:r>
          </w:p>
          <w:p w14:paraId="65CDB909" w14:textId="77777777" w:rsidR="00D704DF" w:rsidRPr="00AD3631" w:rsidRDefault="00D704DF" w:rsidP="00DA3474">
            <w:pPr>
              <w:spacing w:line="300" w:lineRule="atLeast"/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0"/>
                <w:szCs w:val="20"/>
                <w:lang w:val="en" w:eastAsia="sk-SK"/>
              </w:rPr>
            </w:pPr>
            <w:r w:rsidRPr="00AD3631">
              <w:rPr>
                <w:rFonts w:ascii="Times New Roman" w:hAnsi="Times New Roman" w:cs="Times New Roman"/>
                <w:b w:val="0"/>
                <w:bCs/>
                <w:color w:val="333333"/>
                <w:sz w:val="20"/>
                <w:szCs w:val="20"/>
                <w:lang w:val="en"/>
              </w:rPr>
              <w:t>Samolepiací suchý zips s tenkým profilom, čirý, šírka  25 mm, návin 1 bm, transparentné provedenie, množstvo  spojení a rozpojení asi 50x</w:t>
            </w:r>
            <w:r w:rsidRPr="00AD3631">
              <w:rPr>
                <w:rFonts w:ascii="Helvetica" w:hAnsi="Helvetica" w:cs="Helvetica"/>
                <w:b w:val="0"/>
                <w:bCs/>
                <w:color w:val="333333"/>
                <w:sz w:val="20"/>
                <w:szCs w:val="20"/>
                <w:lang w:val="en"/>
              </w:rPr>
              <w:t>.</w:t>
            </w:r>
          </w:p>
        </w:tc>
        <w:tc>
          <w:tcPr>
            <w:tcW w:w="1176" w:type="dxa"/>
          </w:tcPr>
          <w:p w14:paraId="2040718D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</w:rPr>
            </w:pPr>
            <w:r w:rsidRPr="00D704DF"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055" w:type="dxa"/>
          </w:tcPr>
          <w:p w14:paraId="6350FB8C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89" w:type="dxa"/>
          </w:tcPr>
          <w:p w14:paraId="34CF1515" w14:textId="77777777" w:rsidR="00D704DF" w:rsidRPr="00D704DF" w:rsidRDefault="00D704DF" w:rsidP="00DA3474">
            <w:pPr>
              <w:spacing w:before="60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1150" w:type="dxa"/>
          </w:tcPr>
          <w:p w14:paraId="07689DB3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  <w:tr w:rsidR="00D704DF" w:rsidRPr="00AF4242" w14:paraId="2A87B960" w14:textId="77777777" w:rsidTr="00DA3474">
        <w:tc>
          <w:tcPr>
            <w:tcW w:w="846" w:type="dxa"/>
          </w:tcPr>
          <w:p w14:paraId="06CDD524" w14:textId="77777777" w:rsidR="00D704DF" w:rsidRPr="00AF4242" w:rsidRDefault="00D704DF" w:rsidP="00DA3474">
            <w:pPr>
              <w:spacing w:before="60"/>
              <w:rPr>
                <w:rStyle w:val="Vrazn"/>
                <w:rFonts w:ascii="Times New Roman" w:hAnsi="Times New Roman" w:cs="Times New Roman"/>
                <w:color w:val="000000"/>
                <w:szCs w:val="18"/>
                <w:lang w:val="en"/>
              </w:rPr>
            </w:pPr>
          </w:p>
        </w:tc>
        <w:tc>
          <w:tcPr>
            <w:tcW w:w="3646" w:type="dxa"/>
          </w:tcPr>
          <w:p w14:paraId="21768672" w14:textId="77777777" w:rsidR="00D704DF" w:rsidRPr="00697A40" w:rsidRDefault="00D704DF" w:rsidP="00DA3474">
            <w:pPr>
              <w:spacing w:line="300" w:lineRule="atLeast"/>
              <w:rPr>
                <w:rFonts w:ascii="Times New Roman" w:eastAsia="Times New Roman" w:hAnsi="Times New Roman" w:cs="Times New Roman"/>
                <w:b w:val="0"/>
                <w:color w:val="333333"/>
                <w:sz w:val="21"/>
                <w:szCs w:val="21"/>
                <w:lang w:val="en" w:eastAsia="sk-SK"/>
              </w:rPr>
            </w:pPr>
            <w:r w:rsidRPr="00697A4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" w:eastAsia="sk-SK"/>
              </w:rPr>
              <w:t>SPOLU</w:t>
            </w:r>
          </w:p>
        </w:tc>
        <w:tc>
          <w:tcPr>
            <w:tcW w:w="1176" w:type="dxa"/>
          </w:tcPr>
          <w:p w14:paraId="5B107803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</w:rPr>
            </w:pPr>
            <w:r w:rsidRPr="00AF4242">
              <w:rPr>
                <w:rFonts w:ascii="Times New Roman" w:hAnsi="Times New Roman"/>
              </w:rPr>
              <w:t>x</w:t>
            </w:r>
          </w:p>
        </w:tc>
        <w:tc>
          <w:tcPr>
            <w:tcW w:w="1055" w:type="dxa"/>
          </w:tcPr>
          <w:p w14:paraId="21D8F890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 w:rsidRPr="00AF4242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89" w:type="dxa"/>
          </w:tcPr>
          <w:p w14:paraId="1BC46E40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  <w:r w:rsidRPr="00AF4242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50" w:type="dxa"/>
          </w:tcPr>
          <w:p w14:paraId="59C66118" w14:textId="77777777" w:rsidR="00D704DF" w:rsidRPr="00AF4242" w:rsidRDefault="00D704DF" w:rsidP="00DA3474">
            <w:pPr>
              <w:spacing w:before="60"/>
              <w:rPr>
                <w:rFonts w:ascii="Times New Roman" w:hAnsi="Times New Roman"/>
                <w:sz w:val="24"/>
              </w:rPr>
            </w:pPr>
          </w:p>
        </w:tc>
      </w:tr>
    </w:tbl>
    <w:p w14:paraId="6FDBC75F" w14:textId="77777777" w:rsidR="00D704DF" w:rsidRPr="00B359CE" w:rsidRDefault="00D704DF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53F6792" w14:textId="01A38E79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</w:t>
      </w:r>
      <w:r w:rsidR="00AD3631">
        <w:rPr>
          <w:rFonts w:ascii="Arial Narrow" w:hAnsi="Arial Narrow"/>
          <w:b w:val="0"/>
          <w:sz w:val="22"/>
          <w:szCs w:val="22"/>
          <w:lang w:val="sk-SK" w:bidi="en-US"/>
        </w:rPr>
        <w:t> 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konečná</w:t>
      </w:r>
      <w:r w:rsidR="00AD3631">
        <w:rPr>
          <w:rFonts w:ascii="Arial Narrow" w:hAnsi="Arial Narrow"/>
          <w:b w:val="0"/>
          <w:sz w:val="22"/>
          <w:szCs w:val="22"/>
          <w:lang w:val="sk-SK" w:bidi="en-US"/>
        </w:rPr>
        <w:t xml:space="preserve"> (napr. balné, dopravné náklady....)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7429AAB4" w14:textId="59EB3488" w:rsidR="00AD3631" w:rsidRPr="00B359CE" w:rsidRDefault="00AD3631" w:rsidP="00AD363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neodobrať celé množstvo uvedené vo výzve, resp. vytvoriť objednávku iba na </w:t>
      </w:r>
      <w:r w:rsidR="00AF5094">
        <w:rPr>
          <w:rFonts w:ascii="Arial Narrow" w:hAnsi="Arial Narrow"/>
          <w:b w:val="0"/>
          <w:sz w:val="22"/>
          <w:szCs w:val="22"/>
          <w:lang w:val="sk-SK"/>
        </w:rPr>
        <w:t>obmedzené druhy a množstvá  predmetu obstarania.</w:t>
      </w:r>
    </w:p>
    <w:p w14:paraId="7D86AF14" w14:textId="77777777" w:rsidR="00AD3631" w:rsidRPr="00B359CE" w:rsidRDefault="00AD3631" w:rsidP="00AD363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0F84DC" w14:textId="77777777" w:rsidR="00F01232" w:rsidRPr="00B359CE" w:rsidRDefault="00F01232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5E8F471A" w:rsidR="00D94660" w:rsidRPr="006B094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F01232">
        <w:rPr>
          <w:rFonts w:ascii="Arial Narrow" w:hAnsi="Arial Narrow"/>
          <w:b w:val="0"/>
          <w:szCs w:val="22"/>
        </w:rPr>
        <w:t>1</w:t>
      </w:r>
      <w:r w:rsidR="00AF5094">
        <w:rPr>
          <w:rFonts w:ascii="Arial Narrow" w:hAnsi="Arial Narrow"/>
          <w:b w:val="0"/>
          <w:szCs w:val="22"/>
        </w:rPr>
        <w:t xml:space="preserve"> 400</w:t>
      </w:r>
      <w:r w:rsidR="00F01232">
        <w:rPr>
          <w:rFonts w:ascii="Arial Narrow" w:hAnsi="Arial Narrow"/>
          <w:b w:val="0"/>
          <w:szCs w:val="22"/>
        </w:rPr>
        <w:t>,00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B736988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1232">
        <w:rPr>
          <w:rFonts w:ascii="Arial Narrow" w:hAnsi="Arial Narrow"/>
          <w:b w:val="0"/>
          <w:sz w:val="22"/>
          <w:szCs w:val="22"/>
          <w:lang w:val="sk-SK"/>
        </w:rPr>
        <w:t>30.6.2026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521435BC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061A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5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r w:rsidRPr="00430F3C">
        <w:rPr>
          <w:rFonts w:ascii="Arial Narrow" w:eastAsia="Arial" w:hAnsi="Arial Narrow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Súhlas so spracovaním osobných údajov.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lastRenderedPageBreak/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9B797B2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01232">
        <w:rPr>
          <w:rFonts w:ascii="Arial Narrow" w:hAnsi="Arial Narrow"/>
          <w:bCs/>
          <w:sz w:val="22"/>
          <w:szCs w:val="22"/>
          <w:lang w:val="sk-SK" w:eastAsia="sk-SK"/>
        </w:rPr>
        <w:t>10.6.2026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BBDF" w14:textId="77777777" w:rsidR="00D20CEC" w:rsidRDefault="00D20CEC" w:rsidP="000F49C3">
      <w:r>
        <w:separator/>
      </w:r>
    </w:p>
  </w:endnote>
  <w:endnote w:type="continuationSeparator" w:id="0">
    <w:p w14:paraId="34889E4F" w14:textId="77777777" w:rsidR="00D20CEC" w:rsidRDefault="00D20CE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5AA4" w14:textId="77777777" w:rsidR="00D20CEC" w:rsidRDefault="00D20CEC" w:rsidP="000F49C3">
      <w:r>
        <w:separator/>
      </w:r>
    </w:p>
  </w:footnote>
  <w:footnote w:type="continuationSeparator" w:id="0">
    <w:p w14:paraId="78C1B3F9" w14:textId="77777777" w:rsidR="00D20CEC" w:rsidRDefault="00D20CE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578" w:hanging="360"/>
      </w:p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25D8"/>
    <w:multiLevelType w:val="hybridMultilevel"/>
    <w:tmpl w:val="AEEAF5FA"/>
    <w:lvl w:ilvl="0" w:tplc="18BC6DB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5"/>
  </w:num>
  <w:num w:numId="3" w16cid:durableId="1287656635">
    <w:abstractNumId w:val="3"/>
  </w:num>
  <w:num w:numId="4" w16cid:durableId="1468859837">
    <w:abstractNumId w:val="14"/>
  </w:num>
  <w:num w:numId="5" w16cid:durableId="1521045949">
    <w:abstractNumId w:val="18"/>
  </w:num>
  <w:num w:numId="6" w16cid:durableId="1995987207">
    <w:abstractNumId w:val="12"/>
  </w:num>
  <w:num w:numId="7" w16cid:durableId="439841188">
    <w:abstractNumId w:val="11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6"/>
  </w:num>
  <w:num w:numId="11" w16cid:durableId="1074860636">
    <w:abstractNumId w:val="10"/>
  </w:num>
  <w:num w:numId="12" w16cid:durableId="690493422">
    <w:abstractNumId w:val="0"/>
  </w:num>
  <w:num w:numId="13" w16cid:durableId="1971394287">
    <w:abstractNumId w:val="17"/>
  </w:num>
  <w:num w:numId="14" w16cid:durableId="599527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9"/>
  </w:num>
  <w:num w:numId="16" w16cid:durableId="1513838625">
    <w:abstractNumId w:val="6"/>
  </w:num>
  <w:num w:numId="17" w16cid:durableId="465397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  <w:num w:numId="20" w16cid:durableId="293870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A6DAD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603C7"/>
    <w:rsid w:val="00172453"/>
    <w:rsid w:val="00177F37"/>
    <w:rsid w:val="00183BA4"/>
    <w:rsid w:val="001957F4"/>
    <w:rsid w:val="001A0428"/>
    <w:rsid w:val="001A727B"/>
    <w:rsid w:val="001B2495"/>
    <w:rsid w:val="001C0C26"/>
    <w:rsid w:val="001C1A87"/>
    <w:rsid w:val="001F3FE8"/>
    <w:rsid w:val="001F7AA8"/>
    <w:rsid w:val="002061A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57CAA"/>
    <w:rsid w:val="00476E96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2799"/>
    <w:rsid w:val="005233FC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1679"/>
    <w:rsid w:val="00603CFF"/>
    <w:rsid w:val="00610771"/>
    <w:rsid w:val="0061315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094E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44A68"/>
    <w:rsid w:val="009531DC"/>
    <w:rsid w:val="00954931"/>
    <w:rsid w:val="00965460"/>
    <w:rsid w:val="0098149A"/>
    <w:rsid w:val="00982A36"/>
    <w:rsid w:val="009A4039"/>
    <w:rsid w:val="009B1B40"/>
    <w:rsid w:val="009B38DE"/>
    <w:rsid w:val="009B505B"/>
    <w:rsid w:val="009B5CAC"/>
    <w:rsid w:val="009B6530"/>
    <w:rsid w:val="009E60F1"/>
    <w:rsid w:val="009F1522"/>
    <w:rsid w:val="009F18EF"/>
    <w:rsid w:val="009F716D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A69F4"/>
    <w:rsid w:val="00AB385F"/>
    <w:rsid w:val="00AB6242"/>
    <w:rsid w:val="00AD3631"/>
    <w:rsid w:val="00AD66BA"/>
    <w:rsid w:val="00AE0C75"/>
    <w:rsid w:val="00AE0E58"/>
    <w:rsid w:val="00AF2ADA"/>
    <w:rsid w:val="00AF476D"/>
    <w:rsid w:val="00AF5094"/>
    <w:rsid w:val="00B07073"/>
    <w:rsid w:val="00B1169C"/>
    <w:rsid w:val="00B22AFF"/>
    <w:rsid w:val="00B27AB6"/>
    <w:rsid w:val="00B32389"/>
    <w:rsid w:val="00B359CE"/>
    <w:rsid w:val="00B46A0D"/>
    <w:rsid w:val="00B50C46"/>
    <w:rsid w:val="00B52935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019A"/>
    <w:rsid w:val="00C2547A"/>
    <w:rsid w:val="00C33AFA"/>
    <w:rsid w:val="00C42053"/>
    <w:rsid w:val="00C47617"/>
    <w:rsid w:val="00C525D4"/>
    <w:rsid w:val="00C7764A"/>
    <w:rsid w:val="00C80A81"/>
    <w:rsid w:val="00C83312"/>
    <w:rsid w:val="00C93393"/>
    <w:rsid w:val="00CA2E56"/>
    <w:rsid w:val="00CA3DB5"/>
    <w:rsid w:val="00CA7842"/>
    <w:rsid w:val="00CB3DE8"/>
    <w:rsid w:val="00CB6DB6"/>
    <w:rsid w:val="00D0191C"/>
    <w:rsid w:val="00D01D42"/>
    <w:rsid w:val="00D14DAC"/>
    <w:rsid w:val="00D15ED0"/>
    <w:rsid w:val="00D167C7"/>
    <w:rsid w:val="00D20CEC"/>
    <w:rsid w:val="00D217C1"/>
    <w:rsid w:val="00D41FF4"/>
    <w:rsid w:val="00D47C03"/>
    <w:rsid w:val="00D47DE2"/>
    <w:rsid w:val="00D567B5"/>
    <w:rsid w:val="00D63123"/>
    <w:rsid w:val="00D704DF"/>
    <w:rsid w:val="00D706BF"/>
    <w:rsid w:val="00D877C3"/>
    <w:rsid w:val="00D94660"/>
    <w:rsid w:val="00D9617F"/>
    <w:rsid w:val="00D9781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C733D"/>
    <w:rsid w:val="00ED08A4"/>
    <w:rsid w:val="00ED4F3F"/>
    <w:rsid w:val="00F01232"/>
    <w:rsid w:val="00F13F64"/>
    <w:rsid w:val="00F15F86"/>
    <w:rsid w:val="00F173A1"/>
    <w:rsid w:val="00F205E9"/>
    <w:rsid w:val="00F2642D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select2-selectionrendered9">
    <w:name w:val="select2-selection__rendered9"/>
    <w:basedOn w:val="Predvolenpsmoodseku"/>
    <w:rsid w:val="00D704DF"/>
  </w:style>
  <w:style w:type="table" w:styleId="Mriekatabuky">
    <w:name w:val="Table Grid"/>
    <w:basedOn w:val="Normlnatabuka"/>
    <w:uiPriority w:val="59"/>
    <w:rsid w:val="00D704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14159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8</cp:revision>
  <cp:lastPrinted>2026-06-10T11:24:00Z</cp:lastPrinted>
  <dcterms:created xsi:type="dcterms:W3CDTF">2026-06-10T09:26:00Z</dcterms:created>
  <dcterms:modified xsi:type="dcterms:W3CDTF">2026-06-10T11:53:00Z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