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 xml:space="preserve">Dotyczy:  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 w:val="false"/>
          <w:color w:val="00000A"/>
          <w:spacing w:val="1"/>
          <w:kern w:val="0"/>
          <w:sz w:val="26"/>
          <w:szCs w:val="26"/>
          <w:shd w:fill="FFFFFF" w:val="clear"/>
          <w:lang w:eastAsia="pl-PL" w:bidi="ar-SA"/>
        </w:rPr>
        <w:t>Przebudowa ul. Inwałdzkiej w Zagórniku</w:t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20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na potrzeby realizacji zamówienia pod nazwą:</w:t>
      </w:r>
    </w:p>
    <w:p>
      <w:pPr>
        <w:pStyle w:val="Normal"/>
        <w:shd w:fill="FFFFFF" w:val="clear"/>
        <w:spacing w:lineRule="auto" w:line="276"/>
        <w:rPr/>
      </w:pPr>
      <w:r>
        <w:rPr>
          <w:rStyle w:val="Domylnaczcionkaakapitu"/>
          <w:rFonts w:cs="Calibri" w:ascii="Calibri" w:hAnsi="Calibri"/>
          <w:b w:val="false"/>
          <w:bCs w:val="false"/>
          <w:i w:val="false"/>
          <w:iCs w:val="false"/>
          <w:color w:val="00000A"/>
          <w:sz w:val="26"/>
          <w:szCs w:val="26"/>
        </w:rPr>
        <w:t>Przebudowa ul. Inwałdzkiej w Zagórniku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  <w:t>…………………………………</w:t>
      </w:r>
      <w:r>
        <w:rPr>
          <w:rFonts w:cs="Calibri" w:cstheme="minorHAnsi" w:ascii="Calibri" w:hAnsi="Calibr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2835" w:right="0"/>
        <w:jc w:val="left"/>
        <w:textAlignment w:val="baseline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2835" w:right="0"/>
        <w:jc w:val="left"/>
        <w:textAlignment w:val="baseline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4"/>
          <w:szCs w:val="24"/>
        </w:rPr>
        <w:t>…</w:t>
      </w:r>
      <w:r>
        <w:rPr>
          <w:rFonts w:cs="Calibri" w:cstheme="minorHAnsi" w:ascii="Calibri" w:hAnsi="Calibri"/>
          <w:sz w:val="24"/>
          <w:szCs w:val="24"/>
        </w:rPr>
        <w:t>.…………………..........................………..………….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2835" w:right="227"/>
        <w:jc w:val="left"/>
        <w:textAlignment w:val="baseline"/>
        <w:rPr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4"/>
          <w:szCs w:val="24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headerReference w:type="even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character" w:styleId="Domylnaczcionkaakapitu">
    <w:name w:val="Domyślna czcionka akapitu"/>
    <w:qFormat/>
    <w:rPr/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LibreOffice/26.2.1.2$Windows_X86_64 LibreOffice_project/620$Build-2</Application>
  <AppVersion>15.0000</AppVersion>
  <Pages>2</Pages>
  <Words>183</Words>
  <Characters>1399</Characters>
  <CharactersWithSpaces>1558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2026-06-29T13:12:20Z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