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rPr/>
      </w:pPr>
      <w:r w:rsidDel="00000000" w:rsidR="00000000" w:rsidRPr="00000000">
        <w:rPr>
          <w:rtl w:val="0"/>
        </w:rPr>
        <w:t xml:space="preserve">Opis predmetu zákazky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  <w:t xml:space="preserve">Predmetom zákazky je dodanie, doprava, osadenie, montáž, uvedenie do prevádzky a zaškolenie obsluhy modulového bufetu určeného na predaj potravín a nápojov.</w:t>
      </w:r>
    </w:p>
    <w:p w:rsidR="00000000" w:rsidDel="00000000" w:rsidP="00000000" w:rsidRDefault="00000000" w:rsidRPr="00000000" w14:paraId="00000003">
      <w:pPr>
        <w:pStyle w:val="Heading2"/>
        <w:rPr/>
      </w:pPr>
      <w:r w:rsidDel="00000000" w:rsidR="00000000" w:rsidRPr="00000000">
        <w:rPr>
          <w:rtl w:val="0"/>
        </w:rPr>
        <w:t xml:space="preserve">Minimálne technické požiadavky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Nový modulový bufet vhodný na celoročnú prevádzku.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Potravinárske vyhotovenie s umývateľnými povrchmi.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Predajný priestor s výdajným oknom.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Elektroinštalácia 230/400 V s vnútorným LED osvetlením.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Príprava na pripojenie vody a kanalizácie</w:t>
      </w:r>
      <w:r w:rsidDel="00000000" w:rsidR="00000000" w:rsidRPr="00000000">
        <w:rPr>
          <w:rtl w:val="0"/>
        </w:rPr>
        <w:t xml:space="preserve">, samostatné WC, samostatná kuchynka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Pracovné pulty a úložné priestory.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Tepelná izolácia vhodná na celoročnú prevádzku.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Doprava, osadenie, montáž, uvedenie do prevádzky a zaškolenie obsluhy.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Dodanie kompletnej technickej dokumentácie.</w:t>
      </w:r>
    </w:p>
    <w:sectPr>
      <w:pgSz w:h="15840" w:w="12240" w:orient="portrait"/>
      <w:pgMar w:bottom="1440" w:top="1440" w:left="1800" w:right="180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Calibri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mbria" w:cs="Cambria" w:eastAsia="Cambria" w:hAnsi="Cambria"/>
        <w:sz w:val="22"/>
        <w:szCs w:val="22"/>
        <w:lang w:val="en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Rule="auto"/>
    </w:pPr>
    <w:rPr>
      <w:rFonts w:ascii="Calibri" w:cs="Calibri" w:eastAsia="Calibri" w:hAnsi="Calibri"/>
      <w:b w:val="1"/>
      <w:bCs w:val="1"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i w:val="1"/>
      <w:iCs w:val="1"/>
      <w:color w:val="4f81bd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color w:val="243f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i w:val="1"/>
      <w:iCs w:val="1"/>
      <w:color w:val="243f61"/>
    </w:rPr>
  </w:style>
  <w:style w:type="paragraph" w:styleId="Title">
    <w:name w:val="Title"/>
    <w:basedOn w:val="Normal"/>
    <w:next w:val="Normal"/>
    <w:pPr>
      <w:pBdr>
        <w:bottom w:color="4f81bd" w:space="4" w:sz="8" w:val="single"/>
      </w:pBdr>
      <w:spacing w:after="300" w:line="240" w:lineRule="auto"/>
    </w:pPr>
    <w:rPr>
      <w:rFonts w:ascii="Calibri" w:cs="Calibri" w:eastAsia="Calibri" w:hAnsi="Calibri"/>
      <w:color w:val="17365d"/>
      <w:sz w:val="52"/>
      <w:szCs w:val="52"/>
    </w:rPr>
  </w:style>
  <w:style w:type="paragraph" w:styleId="Subtitle">
    <w:name w:val="Subtitle"/>
    <w:basedOn w:val="Normal"/>
    <w:next w:val="Normal"/>
    <w:pPr/>
    <w:rPr>
      <w:rFonts w:ascii="Calibri" w:cs="Calibri" w:eastAsia="Calibri" w:hAnsi="Calibri"/>
      <w:i w:val="1"/>
      <w:iCs w:val="1"/>
      <w:color w:val="4f81bd"/>
      <w:sz w:val="24"/>
      <w:szCs w:val="24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ZBWcLDEteTfvzQgme+6dcYqY5Jg==">CgMxLjA4AHIhMXpjdUM1VVF0RkR3STNBUG9BcEhBdTBoTG4zTTNDVm00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