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BB56" w14:textId="20003153" w:rsidR="00D94A23" w:rsidRPr="00565097" w:rsidRDefault="001D6AA2" w:rsidP="00094DEC">
      <w:pPr>
        <w:jc w:val="center"/>
        <w:rPr>
          <w:rFonts w:ascii="Arial" w:hAnsi="Arial" w:cs="Arial"/>
        </w:rPr>
      </w:pPr>
      <w:r>
        <w:rPr>
          <w:noProof/>
        </w:rPr>
        <w:drawing>
          <wp:inline distT="0" distB="0" distL="0" distR="0" wp14:anchorId="4270FE31" wp14:editId="6AF2DE99">
            <wp:extent cx="1803400" cy="712470"/>
            <wp:effectExtent l="0" t="0" r="6350" b="0"/>
            <wp:docPr id="4" name="Picture 4" descr="K:\DIZAJN MANUÁL NBS_SCHVÁLENÝ_2019\Základný Dizajn manuál NBS_FINAL_2018\LOGOTYP\01 - SK\01 - w EUROSYSTEM\01- BLUE\02 - RGB\PNG\LOGO-NBS-EUROSYSTEM-SK-A-BLUE-RGB.png"/>
            <wp:cNvGraphicFramePr/>
            <a:graphic xmlns:a="http://schemas.openxmlformats.org/drawingml/2006/main">
              <a:graphicData uri="http://schemas.openxmlformats.org/drawingml/2006/picture">
                <pic:pic xmlns:pic="http://schemas.openxmlformats.org/drawingml/2006/picture">
                  <pic:nvPicPr>
                    <pic:cNvPr id="4" name="Picture 4" descr="K:\DIZAJN MANUÁL NBS_SCHVÁLENÝ_2019\Základný Dizajn manuál NBS_FINAL_2018\LOGOTYP\01 - SK\01 - w EUROSYSTEM\01- BLUE\02 - RGB\PNG\LOGO-NBS-EUROSYSTEM-SK-A-BLUE-RGB.png"/>
                    <pic:cNvPicPr/>
                  </pic:nvPicPr>
                  <pic:blipFill rotWithShape="1">
                    <a:blip r:embed="rId7" cstate="print">
                      <a:extLst>
                        <a:ext uri="{28A0092B-C50C-407E-A947-70E740481C1C}">
                          <a14:useLocalDpi xmlns:a14="http://schemas.microsoft.com/office/drawing/2010/main" val="0"/>
                        </a:ext>
                      </a:extLst>
                    </a:blip>
                    <a:srcRect l="4298" t="10265" r="5407" b="9487"/>
                    <a:stretch/>
                  </pic:blipFill>
                  <pic:spPr bwMode="auto">
                    <a:xfrm>
                      <a:off x="0" y="0"/>
                      <a:ext cx="1803400" cy="712470"/>
                    </a:xfrm>
                    <a:prstGeom prst="rect">
                      <a:avLst/>
                    </a:prstGeom>
                    <a:noFill/>
                    <a:ln>
                      <a:noFill/>
                    </a:ln>
                    <a:extLst>
                      <a:ext uri="{53640926-AAD7-44D8-BBD7-CCE9431645EC}">
                        <a14:shadowObscured xmlns:a14="http://schemas.microsoft.com/office/drawing/2010/main"/>
                      </a:ext>
                    </a:extLst>
                  </pic:spPr>
                </pic:pic>
              </a:graphicData>
            </a:graphic>
          </wp:inline>
        </w:drawing>
      </w:r>
    </w:p>
    <w:p w14:paraId="04F9AA36" w14:textId="77777777" w:rsidR="00094DEC" w:rsidRPr="0069506E" w:rsidRDefault="00094DEC" w:rsidP="00094DEC">
      <w:pPr>
        <w:jc w:val="center"/>
        <w:rPr>
          <w:rFonts w:ascii="Cambria" w:hAnsi="Cambria" w:cs="Arial"/>
        </w:rPr>
      </w:pPr>
    </w:p>
    <w:p w14:paraId="19B2D319" w14:textId="6958D1F7" w:rsidR="00094DEC" w:rsidRPr="00CF1CA9" w:rsidRDefault="00094DEC" w:rsidP="00CF1CA9">
      <w:pPr>
        <w:spacing w:after="0" w:line="240" w:lineRule="auto"/>
        <w:jc w:val="center"/>
        <w:rPr>
          <w:rFonts w:ascii="Cambria" w:hAnsi="Cambria" w:cs="Arial"/>
          <w:b/>
        </w:rPr>
      </w:pPr>
      <w:r w:rsidRPr="00A11CCB">
        <w:rPr>
          <w:rFonts w:ascii="Cambria" w:hAnsi="Cambria" w:cs="Arial"/>
          <w:b/>
        </w:rPr>
        <w:t xml:space="preserve">Informácia o zverejnení </w:t>
      </w:r>
      <w:r w:rsidR="00CF1CA9">
        <w:rPr>
          <w:rFonts w:ascii="Cambria" w:hAnsi="Cambria" w:cs="Arial"/>
          <w:b/>
        </w:rPr>
        <w:t>upraven</w:t>
      </w:r>
      <w:r w:rsidR="00737940">
        <w:rPr>
          <w:rFonts w:ascii="Cambria" w:hAnsi="Cambria" w:cs="Arial"/>
          <w:b/>
        </w:rPr>
        <w:t>ej koncesnej dokumentácie</w:t>
      </w:r>
      <w:r w:rsidR="00CF1CA9">
        <w:rPr>
          <w:rFonts w:ascii="Cambria" w:hAnsi="Cambria" w:cs="Arial"/>
          <w:b/>
        </w:rPr>
        <w:t xml:space="preserve"> </w:t>
      </w:r>
      <w:r w:rsidR="009652B1" w:rsidRPr="00A11CCB">
        <w:rPr>
          <w:rFonts w:ascii="Cambria" w:hAnsi="Cambria" w:cs="Arial"/>
          <w:b/>
        </w:rPr>
        <w:t>k na</w:t>
      </w:r>
      <w:r w:rsidRPr="00A11CCB">
        <w:rPr>
          <w:rFonts w:ascii="Cambria" w:hAnsi="Cambria" w:cs="Arial"/>
          <w:b/>
        </w:rPr>
        <w:t xml:space="preserve">dlimitnej </w:t>
      </w:r>
      <w:r w:rsidR="00737940">
        <w:rPr>
          <w:rFonts w:ascii="Cambria" w:hAnsi="Cambria" w:cs="Arial"/>
          <w:b/>
        </w:rPr>
        <w:t>koncesii</w:t>
      </w:r>
      <w:r w:rsidRPr="00A11CCB">
        <w:rPr>
          <w:rFonts w:ascii="Cambria" w:hAnsi="Cambria" w:cs="Arial"/>
          <w:b/>
        </w:rPr>
        <w:t xml:space="preserve"> </w:t>
      </w:r>
      <w:bookmarkStart w:id="0" w:name="_Hlk5179342"/>
      <w:r w:rsidR="00E84B93">
        <w:rPr>
          <w:rFonts w:ascii="Cambria" w:hAnsi="Cambria" w:cs="Arial"/>
          <w:b/>
        </w:rPr>
        <w:br/>
      </w:r>
      <w:r w:rsidR="00737940" w:rsidRPr="00737940">
        <w:rPr>
          <w:rFonts w:ascii="Cambria" w:hAnsi="Cambria" w:cs="Arial"/>
          <w:b/>
        </w:rPr>
        <w:t>na poskytnutie služby</w:t>
      </w:r>
      <w:r w:rsidR="00737940">
        <w:rPr>
          <w:rFonts w:ascii="Cambria" w:hAnsi="Cambria" w:cs="Arial"/>
          <w:b/>
        </w:rPr>
        <w:t xml:space="preserve"> </w:t>
      </w:r>
      <w:r w:rsidR="00FD2425">
        <w:rPr>
          <w:rFonts w:ascii="Cambria" w:hAnsi="Cambria" w:cs="Arial"/>
          <w:b/>
        </w:rPr>
        <w:t>na predmet</w:t>
      </w:r>
      <w:r w:rsidR="00CF1CA9">
        <w:rPr>
          <w:rFonts w:ascii="Cambria" w:hAnsi="Cambria" w:cs="Arial"/>
          <w:b/>
        </w:rPr>
        <w:t xml:space="preserve"> </w:t>
      </w:r>
      <w:r w:rsidR="009652B1" w:rsidRPr="00A11CCB">
        <w:rPr>
          <w:rFonts w:ascii="Cambria" w:hAnsi="Cambria" w:cs="Arial"/>
          <w:b/>
        </w:rPr>
        <w:t>„</w:t>
      </w:r>
      <w:r w:rsidR="00737940" w:rsidRPr="00737940">
        <w:rPr>
          <w:rFonts w:ascii="Cambria" w:hAnsi="Cambria"/>
          <w:b/>
          <w:bCs/>
          <w:color w:val="000000"/>
        </w:rPr>
        <w:t xml:space="preserve">Razba, distribúcia a predaj investičných zberateľských euromincí </w:t>
      </w:r>
      <w:r w:rsidR="00737940">
        <w:rPr>
          <w:rFonts w:ascii="Cambria" w:hAnsi="Cambria"/>
          <w:b/>
          <w:bCs/>
          <w:color w:val="000000"/>
        </w:rPr>
        <w:t>‚</w:t>
      </w:r>
      <w:r w:rsidR="00737940" w:rsidRPr="00737940">
        <w:rPr>
          <w:rFonts w:ascii="Cambria" w:hAnsi="Cambria"/>
          <w:b/>
          <w:bCs/>
          <w:color w:val="000000"/>
        </w:rPr>
        <w:t>BIATEC</w:t>
      </w:r>
      <w:r w:rsidR="00737940">
        <w:rPr>
          <w:rFonts w:ascii="Cambria" w:hAnsi="Cambria"/>
          <w:b/>
          <w:bCs/>
          <w:color w:val="000000"/>
        </w:rPr>
        <w:t>‘ “</w:t>
      </w:r>
    </w:p>
    <w:bookmarkEnd w:id="0"/>
    <w:p w14:paraId="7C592AF0" w14:textId="77777777" w:rsidR="00094DEC" w:rsidRPr="00A11CCB" w:rsidRDefault="00094DEC" w:rsidP="00094DEC">
      <w:pPr>
        <w:spacing w:after="0" w:line="240" w:lineRule="auto"/>
        <w:jc w:val="center"/>
        <w:rPr>
          <w:rFonts w:ascii="Cambria" w:hAnsi="Cambria" w:cs="Arial"/>
          <w:b/>
        </w:rPr>
      </w:pPr>
    </w:p>
    <w:p w14:paraId="03D1369F" w14:textId="77777777" w:rsidR="00094DEC" w:rsidRPr="00A11CCB" w:rsidRDefault="00094DEC" w:rsidP="00094DEC">
      <w:pPr>
        <w:spacing w:after="0" w:line="240" w:lineRule="auto"/>
        <w:jc w:val="center"/>
        <w:rPr>
          <w:rFonts w:ascii="Cambria" w:hAnsi="Cambria" w:cs="Arial"/>
          <w:b/>
        </w:rPr>
      </w:pPr>
    </w:p>
    <w:p w14:paraId="3C0CC6E4" w14:textId="0E04D883" w:rsidR="00737940" w:rsidRDefault="00B82059" w:rsidP="00E84B93">
      <w:pPr>
        <w:spacing w:after="0"/>
        <w:jc w:val="both"/>
        <w:rPr>
          <w:rFonts w:ascii="Cambria" w:hAnsi="Cambria" w:cs="Arial"/>
        </w:rPr>
      </w:pPr>
      <w:bookmarkStart w:id="1" w:name="_Hlk5179332"/>
      <w:r w:rsidRPr="003C08C0">
        <w:rPr>
          <w:rFonts w:ascii="Cambria" w:eastAsia="Calibri" w:hAnsi="Cambria"/>
          <w14:ligatures w14:val="standardContextual"/>
        </w:rPr>
        <w:t>Verejný obstarávateľ</w:t>
      </w:r>
      <w:r>
        <w:rPr>
          <w:rFonts w:ascii="Cambria" w:eastAsia="Calibri" w:hAnsi="Cambria"/>
          <w14:ligatures w14:val="standardContextual"/>
        </w:rPr>
        <w:t xml:space="preserve"> </w:t>
      </w:r>
      <w:r w:rsidRPr="003C08C0">
        <w:rPr>
          <w:rFonts w:ascii="Cambria" w:eastAsia="Calibri" w:hAnsi="Cambria"/>
          <w14:ligatures w14:val="standardContextual"/>
        </w:rPr>
        <w:t>informuje</w:t>
      </w:r>
      <w:r w:rsidR="00737940">
        <w:rPr>
          <w:rFonts w:ascii="Cambria" w:eastAsia="Calibri" w:hAnsi="Cambria"/>
          <w14:ligatures w14:val="standardContextual"/>
        </w:rPr>
        <w:t xml:space="preserve"> záujemcov</w:t>
      </w:r>
      <w:r w:rsidR="00BF665C">
        <w:rPr>
          <w:rFonts w:ascii="Cambria" w:eastAsia="Calibri" w:hAnsi="Cambria"/>
          <w14:ligatures w14:val="standardContextual"/>
        </w:rPr>
        <w:t xml:space="preserve"> a hospodárske subjekty</w:t>
      </w:r>
      <w:r w:rsidR="00737940">
        <w:rPr>
          <w:rFonts w:ascii="Cambria" w:eastAsia="Calibri" w:hAnsi="Cambria"/>
          <w14:ligatures w14:val="standardContextual"/>
        </w:rPr>
        <w:t xml:space="preserve"> podľa § 102 ods. 9 zákona </w:t>
      </w:r>
      <w:r w:rsidR="00BF665C">
        <w:rPr>
          <w:rFonts w:ascii="Cambria" w:eastAsia="Calibri" w:hAnsi="Cambria"/>
          <w14:ligatures w14:val="standardContextual"/>
        </w:rPr>
        <w:br/>
      </w:r>
      <w:r w:rsidR="00737940" w:rsidRPr="00737940">
        <w:rPr>
          <w:rFonts w:ascii="Cambria" w:eastAsia="Calibri" w:hAnsi="Cambria"/>
          <w14:ligatures w14:val="standardContextual"/>
        </w:rPr>
        <w:t>č. 343/2015 Z. z. o verejnom obstarávaní a o zmene a doplnení niektorých zákonov v znení neskorších predpisov</w:t>
      </w:r>
      <w:r w:rsidR="00E84B93">
        <w:rPr>
          <w:rFonts w:ascii="Cambria" w:eastAsia="Calibri" w:hAnsi="Cambria"/>
          <w14:ligatures w14:val="standardContextual"/>
        </w:rPr>
        <w:t xml:space="preserve"> o úprav</w:t>
      </w:r>
      <w:r w:rsidR="00737940">
        <w:rPr>
          <w:rFonts w:ascii="Cambria" w:eastAsia="Calibri" w:hAnsi="Cambria"/>
          <w14:ligatures w14:val="standardContextual"/>
        </w:rPr>
        <w:t>ách</w:t>
      </w:r>
      <w:r w:rsidR="00E84B93">
        <w:rPr>
          <w:rFonts w:ascii="Cambria" w:eastAsia="Calibri" w:hAnsi="Cambria"/>
          <w14:ligatures w14:val="standardContextual"/>
        </w:rPr>
        <w:t xml:space="preserve"> </w:t>
      </w:r>
      <w:r w:rsidR="00737940">
        <w:rPr>
          <w:rFonts w:ascii="Cambria" w:hAnsi="Cambria" w:cs="Arial"/>
        </w:rPr>
        <w:t>koncesnej dokumentácie v predmetnom postupe zadávania koncesie</w:t>
      </w:r>
      <w:r w:rsidR="004375D7">
        <w:rPr>
          <w:rFonts w:ascii="Cambria" w:hAnsi="Cambria" w:cs="Arial"/>
        </w:rPr>
        <w:t>.</w:t>
      </w:r>
    </w:p>
    <w:p w14:paraId="42678E8C" w14:textId="77777777" w:rsidR="00737940" w:rsidRDefault="00737940" w:rsidP="00E84B93">
      <w:pPr>
        <w:spacing w:after="0"/>
        <w:jc w:val="both"/>
        <w:rPr>
          <w:rFonts w:ascii="Cambria" w:hAnsi="Cambria" w:cs="Arial"/>
        </w:rPr>
      </w:pPr>
    </w:p>
    <w:p w14:paraId="02A12117" w14:textId="2C5DE37E" w:rsidR="004375D7" w:rsidRDefault="004375D7" w:rsidP="004375D7">
      <w:pPr>
        <w:spacing w:after="0"/>
        <w:jc w:val="both"/>
        <w:rPr>
          <w:rFonts w:ascii="Cambria" w:hAnsi="Cambria" w:cs="Arial"/>
          <w:b/>
          <w:bCs/>
        </w:rPr>
      </w:pPr>
      <w:r w:rsidRPr="004375D7">
        <w:rPr>
          <w:rFonts w:ascii="Cambria" w:hAnsi="Cambria" w:cs="Arial"/>
          <w:b/>
          <w:bCs/>
        </w:rPr>
        <w:t xml:space="preserve">1. </w:t>
      </w:r>
      <w:r>
        <w:rPr>
          <w:rFonts w:ascii="Cambria" w:hAnsi="Cambria" w:cs="Arial"/>
          <w:b/>
          <w:bCs/>
        </w:rPr>
        <w:t>Úprava</w:t>
      </w:r>
      <w:r w:rsidRPr="004375D7">
        <w:rPr>
          <w:rFonts w:ascii="Cambria" w:hAnsi="Cambria" w:cs="Arial"/>
          <w:b/>
          <w:bCs/>
        </w:rPr>
        <w:t xml:space="preserve"> bodu 36.6 koncesnej dokumentácie</w:t>
      </w:r>
    </w:p>
    <w:p w14:paraId="23435300" w14:textId="77777777" w:rsidR="004375D7" w:rsidRPr="004375D7" w:rsidRDefault="004375D7" w:rsidP="004375D7">
      <w:pPr>
        <w:spacing w:after="0"/>
        <w:jc w:val="both"/>
        <w:rPr>
          <w:rFonts w:ascii="Cambria" w:hAnsi="Cambria" w:cs="Arial"/>
          <w:b/>
          <w:bCs/>
        </w:rPr>
      </w:pPr>
    </w:p>
    <w:p w14:paraId="7A7F151E" w14:textId="78AB011E" w:rsidR="004375D7" w:rsidRDefault="004375D7" w:rsidP="004375D7">
      <w:pPr>
        <w:spacing w:after="0"/>
        <w:jc w:val="both"/>
        <w:rPr>
          <w:rFonts w:ascii="Cambria" w:hAnsi="Cambria" w:cs="Arial"/>
        </w:rPr>
      </w:pPr>
      <w:r>
        <w:rPr>
          <w:rFonts w:ascii="Cambria" w:hAnsi="Cambria" w:cs="Arial"/>
        </w:rPr>
        <w:t>Verejný obstarávateľ zosúladil množstvá uvedené v</w:t>
      </w:r>
      <w:r w:rsidRPr="004375D7">
        <w:rPr>
          <w:rFonts w:ascii="Cambria" w:hAnsi="Cambria" w:cs="Arial"/>
        </w:rPr>
        <w:t xml:space="preserve"> </w:t>
      </w:r>
      <w:r>
        <w:rPr>
          <w:rFonts w:ascii="Cambria" w:hAnsi="Cambria" w:cs="Arial"/>
        </w:rPr>
        <w:t xml:space="preserve">bode </w:t>
      </w:r>
      <w:r w:rsidRPr="004375D7">
        <w:rPr>
          <w:rFonts w:ascii="Cambria" w:hAnsi="Cambria" w:cs="Arial"/>
        </w:rPr>
        <w:t>36.6</w:t>
      </w:r>
      <w:r>
        <w:rPr>
          <w:rFonts w:ascii="Cambria" w:hAnsi="Cambria" w:cs="Arial"/>
        </w:rPr>
        <w:t xml:space="preserve"> koncesnej dokumentácie s bodom 36.4 a bodom 36.7. Upravený text je vyznačený červeným písmom.</w:t>
      </w:r>
    </w:p>
    <w:p w14:paraId="3E9CBB48" w14:textId="77777777" w:rsidR="004375D7" w:rsidRPr="004375D7" w:rsidRDefault="004375D7" w:rsidP="004375D7">
      <w:pPr>
        <w:spacing w:after="0"/>
        <w:jc w:val="both"/>
        <w:rPr>
          <w:rFonts w:ascii="Cambria" w:hAnsi="Cambria" w:cs="Arial"/>
        </w:rPr>
      </w:pPr>
    </w:p>
    <w:p w14:paraId="31F38C20" w14:textId="5A30349D" w:rsidR="004375D7" w:rsidRPr="004375D7" w:rsidRDefault="004375D7" w:rsidP="004375D7">
      <w:pPr>
        <w:spacing w:after="0"/>
        <w:jc w:val="both"/>
        <w:rPr>
          <w:rFonts w:ascii="Cambria" w:hAnsi="Cambria" w:cs="Arial"/>
          <w:b/>
          <w:bCs/>
        </w:rPr>
      </w:pPr>
      <w:r w:rsidRPr="004375D7">
        <w:rPr>
          <w:rFonts w:ascii="Cambria" w:hAnsi="Cambria" w:cs="Arial"/>
          <w:b/>
          <w:bCs/>
        </w:rPr>
        <w:t xml:space="preserve">2. </w:t>
      </w:r>
      <w:r>
        <w:rPr>
          <w:rFonts w:ascii="Cambria" w:hAnsi="Cambria" w:cs="Arial"/>
          <w:b/>
          <w:bCs/>
        </w:rPr>
        <w:t>Úpravy</w:t>
      </w:r>
      <w:r w:rsidRPr="004375D7">
        <w:rPr>
          <w:rFonts w:ascii="Cambria" w:hAnsi="Cambria" w:cs="Arial"/>
          <w:b/>
          <w:bCs/>
        </w:rPr>
        <w:t xml:space="preserve"> </w:t>
      </w:r>
      <w:r>
        <w:rPr>
          <w:rFonts w:ascii="Cambria" w:hAnsi="Cambria" w:cs="Arial"/>
          <w:b/>
          <w:bCs/>
        </w:rPr>
        <w:t xml:space="preserve">v </w:t>
      </w:r>
      <w:r w:rsidRPr="004375D7">
        <w:rPr>
          <w:rFonts w:ascii="Cambria" w:hAnsi="Cambria" w:cs="Arial"/>
          <w:b/>
          <w:bCs/>
        </w:rPr>
        <w:t>príloh</w:t>
      </w:r>
      <w:r>
        <w:rPr>
          <w:rFonts w:ascii="Cambria" w:hAnsi="Cambria" w:cs="Arial"/>
          <w:b/>
          <w:bCs/>
        </w:rPr>
        <w:t>e</w:t>
      </w:r>
      <w:r w:rsidRPr="004375D7">
        <w:rPr>
          <w:rFonts w:ascii="Cambria" w:hAnsi="Cambria" w:cs="Arial"/>
          <w:b/>
          <w:bCs/>
        </w:rPr>
        <w:t xml:space="preserve"> č. 2 – Návrh na plnenie kritérií na vyhodnotenie ponúk</w:t>
      </w:r>
    </w:p>
    <w:p w14:paraId="67537506" w14:textId="47D91116" w:rsidR="004375D7" w:rsidRDefault="004375D7" w:rsidP="004375D7">
      <w:pPr>
        <w:spacing w:after="0"/>
        <w:jc w:val="both"/>
        <w:rPr>
          <w:rFonts w:ascii="Cambria" w:hAnsi="Cambria" w:cs="Arial"/>
        </w:rPr>
      </w:pPr>
      <w:r w:rsidRPr="004375D7">
        <w:rPr>
          <w:rFonts w:ascii="Cambria" w:hAnsi="Cambria" w:cs="Arial"/>
        </w:rPr>
        <w:t>V prílohe č. 2 k časti D. SAMOSTATNÉ PRÍLOHY koncesnej dokumentácie</w:t>
      </w:r>
      <w:r>
        <w:rPr>
          <w:rFonts w:ascii="Cambria" w:hAnsi="Cambria" w:cs="Arial"/>
        </w:rPr>
        <w:t xml:space="preserve"> verejný obstarávateľ vykonal </w:t>
      </w:r>
      <w:r w:rsidRPr="004375D7">
        <w:rPr>
          <w:rFonts w:ascii="Cambria" w:hAnsi="Cambria" w:cs="Arial"/>
        </w:rPr>
        <w:t>tieto opravy:</w:t>
      </w:r>
    </w:p>
    <w:p w14:paraId="30441E63" w14:textId="77777777" w:rsidR="004375D7" w:rsidRDefault="004375D7" w:rsidP="004375D7">
      <w:pPr>
        <w:spacing w:after="0"/>
        <w:jc w:val="both"/>
        <w:rPr>
          <w:rFonts w:ascii="Cambria" w:hAnsi="Cambria" w:cs="Arial"/>
        </w:rPr>
      </w:pPr>
    </w:p>
    <w:p w14:paraId="2D65EFE1" w14:textId="77777777" w:rsidR="006B3B7E" w:rsidRDefault="004375D7" w:rsidP="004375D7">
      <w:pPr>
        <w:spacing w:after="0"/>
        <w:jc w:val="both"/>
        <w:rPr>
          <w:rFonts w:ascii="Cambria" w:hAnsi="Cambria" w:cs="Arial"/>
          <w:u w:val="single"/>
        </w:rPr>
      </w:pPr>
      <w:r w:rsidRPr="006B3B7E">
        <w:rPr>
          <w:rFonts w:ascii="Cambria" w:hAnsi="Cambria" w:cs="Arial"/>
          <w:u w:val="single"/>
        </w:rPr>
        <w:t xml:space="preserve">a) Oprava predpokladaných množstiev na hárku </w:t>
      </w:r>
      <w:r w:rsidRPr="00BF665C">
        <w:rPr>
          <w:rFonts w:ascii="Cambria" w:hAnsi="Cambria" w:cs="Arial"/>
          <w:i/>
          <w:iCs/>
          <w:u w:val="single"/>
        </w:rPr>
        <w:t>„Vstupy“</w:t>
      </w:r>
      <w:r w:rsidRPr="006B3B7E">
        <w:rPr>
          <w:rFonts w:ascii="Cambria" w:hAnsi="Cambria" w:cs="Arial"/>
          <w:u w:val="single"/>
        </w:rPr>
        <w:t xml:space="preserve"> </w:t>
      </w:r>
    </w:p>
    <w:p w14:paraId="61571EFE" w14:textId="77777777" w:rsidR="006B3B7E" w:rsidRDefault="006B3B7E" w:rsidP="004375D7">
      <w:pPr>
        <w:spacing w:after="0"/>
        <w:jc w:val="both"/>
        <w:rPr>
          <w:rFonts w:ascii="Cambria" w:hAnsi="Cambria" w:cs="Arial"/>
          <w:u w:val="single"/>
        </w:rPr>
      </w:pPr>
    </w:p>
    <w:p w14:paraId="07BD5960" w14:textId="1B562A5C" w:rsidR="004375D7" w:rsidRPr="006B3B7E" w:rsidRDefault="006B3B7E" w:rsidP="004375D7">
      <w:pPr>
        <w:spacing w:after="0"/>
        <w:jc w:val="both"/>
        <w:rPr>
          <w:rFonts w:ascii="Cambria" w:hAnsi="Cambria" w:cs="Arial"/>
        </w:rPr>
      </w:pPr>
      <w:r w:rsidRPr="006B3B7E">
        <w:rPr>
          <w:rFonts w:ascii="Cambria" w:hAnsi="Cambria" w:cs="Arial"/>
        </w:rPr>
        <w:t>V s</w:t>
      </w:r>
      <w:r w:rsidR="004375D7" w:rsidRPr="006B3B7E">
        <w:rPr>
          <w:rFonts w:ascii="Cambria" w:hAnsi="Cambria" w:cs="Arial"/>
        </w:rPr>
        <w:t xml:space="preserve">tĺpci </w:t>
      </w:r>
      <w:r w:rsidR="004375D7" w:rsidRPr="005E41BE">
        <w:rPr>
          <w:rFonts w:ascii="Cambria" w:hAnsi="Cambria" w:cs="Arial"/>
          <w:i/>
          <w:iCs/>
        </w:rPr>
        <w:t>„Predpokladané množstvo za 4 roky“</w:t>
      </w:r>
      <w:r w:rsidR="004375D7" w:rsidRPr="006B3B7E">
        <w:rPr>
          <w:rFonts w:ascii="Cambria" w:hAnsi="Cambria" w:cs="Arial"/>
        </w:rPr>
        <w:t> </w:t>
      </w:r>
      <w:r>
        <w:rPr>
          <w:rFonts w:ascii="Cambria" w:hAnsi="Cambria" w:cs="Arial"/>
        </w:rPr>
        <w:t>verejný obstarávateľ upravuje predpokladané množstvá v</w:t>
      </w:r>
      <w:r w:rsidR="004375D7" w:rsidRPr="006B3B7E">
        <w:rPr>
          <w:rFonts w:ascii="Cambria" w:hAnsi="Cambria" w:cs="Arial"/>
        </w:rPr>
        <w:t> bunk</w:t>
      </w:r>
      <w:r>
        <w:rPr>
          <w:rFonts w:ascii="Cambria" w:hAnsi="Cambria" w:cs="Arial"/>
        </w:rPr>
        <w:t>ách</w:t>
      </w:r>
      <w:r w:rsidR="004375D7" w:rsidRPr="006B3B7E">
        <w:rPr>
          <w:rFonts w:ascii="Cambria" w:hAnsi="Cambria" w:cs="Arial"/>
        </w:rPr>
        <w:t xml:space="preserve"> E15, E16, E17, E18, E19, E20.</w:t>
      </w:r>
    </w:p>
    <w:p w14:paraId="2022B3E3" w14:textId="77777777" w:rsidR="004375D7" w:rsidRPr="004375D7" w:rsidRDefault="004375D7" w:rsidP="004375D7">
      <w:pPr>
        <w:spacing w:after="0"/>
        <w:jc w:val="both"/>
        <w:rPr>
          <w:rFonts w:ascii="Cambria" w:hAnsi="Cambria" w:cs="Arial"/>
        </w:rPr>
      </w:pPr>
    </w:p>
    <w:p w14:paraId="6E5BC42F" w14:textId="456C8BC0" w:rsidR="004375D7" w:rsidRDefault="004375D7" w:rsidP="004375D7">
      <w:pPr>
        <w:spacing w:after="0"/>
        <w:jc w:val="both"/>
        <w:rPr>
          <w:rFonts w:ascii="Cambria" w:hAnsi="Cambria" w:cs="Arial"/>
        </w:rPr>
      </w:pPr>
      <w:r w:rsidRPr="004375D7">
        <w:rPr>
          <w:rFonts w:ascii="Cambria" w:hAnsi="Cambria" w:cs="Arial"/>
        </w:rPr>
        <w:t xml:space="preserve">Touto opravou sa údaje na hárku </w:t>
      </w:r>
      <w:r w:rsidRPr="00BF665C">
        <w:rPr>
          <w:rFonts w:ascii="Cambria" w:hAnsi="Cambria" w:cs="Arial"/>
          <w:i/>
          <w:iCs/>
        </w:rPr>
        <w:t>„Vstupy“</w:t>
      </w:r>
      <w:r w:rsidRPr="004375D7">
        <w:rPr>
          <w:rFonts w:ascii="Cambria" w:hAnsi="Cambria" w:cs="Arial"/>
        </w:rPr>
        <w:t xml:space="preserve"> zosúlaďujú s predpokladanými množstvami uvedenými v bode 36.4 koncesnej dokumentácie. Príslušné množstvá používané vo výpočtoch na hárku </w:t>
      </w:r>
      <w:r w:rsidRPr="00BF665C">
        <w:rPr>
          <w:rFonts w:ascii="Cambria" w:hAnsi="Cambria" w:cs="Arial"/>
          <w:i/>
          <w:iCs/>
        </w:rPr>
        <w:t>„</w:t>
      </w:r>
      <w:proofErr w:type="spellStart"/>
      <w:r w:rsidRPr="00BF665C">
        <w:rPr>
          <w:rFonts w:ascii="Cambria" w:hAnsi="Cambria" w:cs="Arial"/>
          <w:i/>
          <w:iCs/>
        </w:rPr>
        <w:t>Formular</w:t>
      </w:r>
      <w:proofErr w:type="spellEnd"/>
      <w:r w:rsidRPr="00BF665C">
        <w:rPr>
          <w:rFonts w:ascii="Cambria" w:hAnsi="Cambria" w:cs="Arial"/>
          <w:i/>
          <w:iCs/>
        </w:rPr>
        <w:t>“</w:t>
      </w:r>
      <w:r w:rsidRPr="004375D7">
        <w:rPr>
          <w:rFonts w:ascii="Cambria" w:hAnsi="Cambria" w:cs="Arial"/>
        </w:rPr>
        <w:t xml:space="preserve"> už týmto hodnotám zodpovedali a nemenia sa.</w:t>
      </w:r>
      <w:r>
        <w:rPr>
          <w:rFonts w:ascii="Cambria" w:hAnsi="Cambria" w:cs="Arial"/>
        </w:rPr>
        <w:t xml:space="preserve"> </w:t>
      </w:r>
    </w:p>
    <w:p w14:paraId="026944E0" w14:textId="77777777" w:rsidR="004375D7" w:rsidRDefault="004375D7" w:rsidP="004375D7">
      <w:pPr>
        <w:spacing w:after="0"/>
        <w:jc w:val="both"/>
        <w:rPr>
          <w:rFonts w:ascii="Cambria" w:hAnsi="Cambria" w:cs="Arial"/>
        </w:rPr>
      </w:pPr>
    </w:p>
    <w:p w14:paraId="2F002B1D" w14:textId="543E4135" w:rsidR="004375D7" w:rsidRDefault="004375D7" w:rsidP="004375D7">
      <w:pPr>
        <w:spacing w:after="0"/>
        <w:jc w:val="both"/>
        <w:rPr>
          <w:rFonts w:ascii="Cambria" w:hAnsi="Cambria" w:cs="Arial"/>
        </w:rPr>
      </w:pPr>
      <w:r>
        <w:rPr>
          <w:rFonts w:ascii="Cambria" w:hAnsi="Cambria" w:cs="Arial"/>
        </w:rPr>
        <w:t>Zmeny sú vyznačené červeným písmom.</w:t>
      </w:r>
    </w:p>
    <w:p w14:paraId="6CB70CA2" w14:textId="77777777" w:rsidR="004375D7" w:rsidRPr="004375D7" w:rsidRDefault="004375D7" w:rsidP="004375D7">
      <w:pPr>
        <w:spacing w:after="0"/>
        <w:jc w:val="both"/>
        <w:rPr>
          <w:rFonts w:ascii="Cambria" w:hAnsi="Cambria" w:cs="Arial"/>
        </w:rPr>
      </w:pPr>
    </w:p>
    <w:p w14:paraId="51822C2B" w14:textId="3B6586DE" w:rsidR="004375D7" w:rsidRPr="006B3B7E" w:rsidRDefault="004375D7" w:rsidP="004375D7">
      <w:pPr>
        <w:spacing w:after="0"/>
        <w:jc w:val="both"/>
        <w:rPr>
          <w:rFonts w:ascii="Cambria" w:hAnsi="Cambria" w:cs="Arial"/>
          <w:u w:val="single"/>
        </w:rPr>
      </w:pPr>
      <w:r w:rsidRPr="006B3B7E">
        <w:rPr>
          <w:rFonts w:ascii="Cambria" w:hAnsi="Cambria" w:cs="Arial"/>
          <w:u w:val="single"/>
        </w:rPr>
        <w:t xml:space="preserve">b) Oprava nominálnych hodnôt na hárku </w:t>
      </w:r>
      <w:r w:rsidRPr="00BF665C">
        <w:rPr>
          <w:rFonts w:ascii="Cambria" w:hAnsi="Cambria" w:cs="Arial"/>
          <w:i/>
          <w:iCs/>
          <w:u w:val="single"/>
        </w:rPr>
        <w:t>„Vstupy“</w:t>
      </w:r>
    </w:p>
    <w:p w14:paraId="4F2C7ECB" w14:textId="360A5DE0" w:rsidR="004375D7" w:rsidRPr="004375D7" w:rsidRDefault="004375D7" w:rsidP="004375D7">
      <w:pPr>
        <w:spacing w:after="0"/>
        <w:jc w:val="both"/>
        <w:rPr>
          <w:rFonts w:ascii="Cambria" w:hAnsi="Cambria" w:cs="Arial"/>
        </w:rPr>
      </w:pPr>
      <w:r w:rsidRPr="004375D7">
        <w:rPr>
          <w:rFonts w:ascii="Cambria" w:hAnsi="Cambria" w:cs="Arial"/>
        </w:rPr>
        <w:t>Na hárku „Vstupy“ sa opravuj</w:t>
      </w:r>
      <w:r>
        <w:rPr>
          <w:rFonts w:ascii="Cambria" w:hAnsi="Cambria" w:cs="Arial"/>
        </w:rPr>
        <w:t>ú</w:t>
      </w:r>
      <w:r w:rsidRPr="004375D7">
        <w:rPr>
          <w:rFonts w:ascii="Cambria" w:hAnsi="Cambria" w:cs="Arial"/>
        </w:rPr>
        <w:t xml:space="preserve"> nominálne hodnoty</w:t>
      </w:r>
      <w:r>
        <w:rPr>
          <w:rFonts w:ascii="Cambria" w:hAnsi="Cambria" w:cs="Arial"/>
        </w:rPr>
        <w:t xml:space="preserve"> v bunkách D16, D17 a D18. </w:t>
      </w:r>
    </w:p>
    <w:p w14:paraId="790907D6" w14:textId="77777777" w:rsidR="004375D7" w:rsidRPr="004375D7" w:rsidRDefault="004375D7" w:rsidP="004375D7">
      <w:pPr>
        <w:spacing w:after="0"/>
        <w:jc w:val="both"/>
        <w:rPr>
          <w:rFonts w:ascii="Cambria" w:hAnsi="Cambria" w:cs="Arial"/>
        </w:rPr>
      </w:pPr>
    </w:p>
    <w:p w14:paraId="6A7E91A1" w14:textId="77777777" w:rsidR="004375D7" w:rsidRDefault="004375D7" w:rsidP="004375D7">
      <w:pPr>
        <w:spacing w:after="0"/>
        <w:jc w:val="both"/>
        <w:rPr>
          <w:rFonts w:ascii="Cambria" w:hAnsi="Cambria" w:cs="Arial"/>
        </w:rPr>
      </w:pPr>
      <w:r w:rsidRPr="004375D7">
        <w:rPr>
          <w:rFonts w:ascii="Cambria" w:hAnsi="Cambria" w:cs="Arial"/>
        </w:rPr>
        <w:t>Touto opravou sa nominálne hodnoty na hárku</w:t>
      </w:r>
      <w:r w:rsidRPr="00BF665C">
        <w:rPr>
          <w:rFonts w:ascii="Cambria" w:hAnsi="Cambria" w:cs="Arial"/>
          <w:i/>
          <w:iCs/>
        </w:rPr>
        <w:t xml:space="preserve"> „Vstupy“</w:t>
      </w:r>
      <w:r w:rsidRPr="004375D7">
        <w:rPr>
          <w:rFonts w:ascii="Cambria" w:hAnsi="Cambria" w:cs="Arial"/>
        </w:rPr>
        <w:t xml:space="preserve"> zosúlaďujú s bodom 36.4 koncesnej dokumentácie. Nominálne hodnoty príslušných produktov používané na hárku </w:t>
      </w:r>
      <w:r w:rsidRPr="00BF665C">
        <w:rPr>
          <w:rFonts w:ascii="Cambria" w:hAnsi="Cambria" w:cs="Arial"/>
          <w:i/>
          <w:iCs/>
        </w:rPr>
        <w:t>„</w:t>
      </w:r>
      <w:proofErr w:type="spellStart"/>
      <w:r w:rsidRPr="00BF665C">
        <w:rPr>
          <w:rFonts w:ascii="Cambria" w:hAnsi="Cambria" w:cs="Arial"/>
          <w:i/>
          <w:iCs/>
        </w:rPr>
        <w:t>Formular</w:t>
      </w:r>
      <w:proofErr w:type="spellEnd"/>
      <w:r w:rsidRPr="00BF665C">
        <w:rPr>
          <w:rFonts w:ascii="Cambria" w:hAnsi="Cambria" w:cs="Arial"/>
          <w:i/>
          <w:iCs/>
        </w:rPr>
        <w:t>“</w:t>
      </w:r>
      <w:r w:rsidRPr="004375D7">
        <w:rPr>
          <w:rFonts w:ascii="Cambria" w:hAnsi="Cambria" w:cs="Arial"/>
        </w:rPr>
        <w:t xml:space="preserve"> už týmto hodnotám zodpovedali a nemenia sa.</w:t>
      </w:r>
    </w:p>
    <w:p w14:paraId="4FDEA130" w14:textId="77777777" w:rsidR="006B3B7E" w:rsidRDefault="006B3B7E" w:rsidP="004375D7">
      <w:pPr>
        <w:spacing w:after="0"/>
        <w:jc w:val="both"/>
        <w:rPr>
          <w:rFonts w:ascii="Cambria" w:hAnsi="Cambria" w:cs="Arial"/>
        </w:rPr>
      </w:pPr>
    </w:p>
    <w:p w14:paraId="1B352E48" w14:textId="38E6C14B" w:rsidR="006B3B7E" w:rsidRDefault="006B3B7E" w:rsidP="004375D7">
      <w:pPr>
        <w:spacing w:after="0"/>
        <w:jc w:val="both"/>
        <w:rPr>
          <w:rFonts w:ascii="Cambria" w:hAnsi="Cambria" w:cs="Arial"/>
        </w:rPr>
      </w:pPr>
      <w:r>
        <w:rPr>
          <w:rFonts w:ascii="Cambria" w:hAnsi="Cambria" w:cs="Arial"/>
        </w:rPr>
        <w:t>Úpravy sú vyznačené červeným písmom.</w:t>
      </w:r>
    </w:p>
    <w:p w14:paraId="52E87E75" w14:textId="77777777" w:rsidR="004375D7" w:rsidRPr="004375D7" w:rsidRDefault="004375D7" w:rsidP="004375D7">
      <w:pPr>
        <w:spacing w:after="0"/>
        <w:jc w:val="both"/>
        <w:rPr>
          <w:rFonts w:ascii="Cambria" w:hAnsi="Cambria" w:cs="Arial"/>
        </w:rPr>
      </w:pPr>
    </w:p>
    <w:p w14:paraId="14A5B51E" w14:textId="70AA9976" w:rsidR="004375D7" w:rsidRPr="006B3B7E" w:rsidRDefault="004375D7" w:rsidP="004375D7">
      <w:pPr>
        <w:spacing w:after="0"/>
        <w:jc w:val="both"/>
        <w:rPr>
          <w:rFonts w:ascii="Cambria" w:hAnsi="Cambria" w:cs="Arial"/>
          <w:u w:val="single"/>
        </w:rPr>
      </w:pPr>
      <w:r w:rsidRPr="006B3B7E">
        <w:rPr>
          <w:rFonts w:ascii="Cambria" w:hAnsi="Cambria" w:cs="Arial"/>
          <w:u w:val="single"/>
        </w:rPr>
        <w:t xml:space="preserve">c) Oprava textu kontrolného výpočtu na hárku </w:t>
      </w:r>
      <w:r w:rsidRPr="00BF665C">
        <w:rPr>
          <w:rFonts w:ascii="Cambria" w:hAnsi="Cambria" w:cs="Arial"/>
          <w:i/>
          <w:iCs/>
          <w:u w:val="single"/>
        </w:rPr>
        <w:t>„</w:t>
      </w:r>
      <w:proofErr w:type="spellStart"/>
      <w:r w:rsidRPr="00BF665C">
        <w:rPr>
          <w:rFonts w:ascii="Cambria" w:hAnsi="Cambria" w:cs="Arial"/>
          <w:i/>
          <w:iCs/>
          <w:u w:val="single"/>
        </w:rPr>
        <w:t>Formular</w:t>
      </w:r>
      <w:proofErr w:type="spellEnd"/>
      <w:r w:rsidRPr="00BF665C">
        <w:rPr>
          <w:rFonts w:ascii="Cambria" w:hAnsi="Cambria" w:cs="Arial"/>
          <w:i/>
          <w:iCs/>
          <w:u w:val="single"/>
        </w:rPr>
        <w:t>“</w:t>
      </w:r>
    </w:p>
    <w:p w14:paraId="3421FB64" w14:textId="77777777" w:rsidR="004375D7" w:rsidRPr="004375D7" w:rsidRDefault="004375D7" w:rsidP="004375D7">
      <w:pPr>
        <w:spacing w:after="0"/>
        <w:jc w:val="both"/>
        <w:rPr>
          <w:rFonts w:ascii="Cambria" w:hAnsi="Cambria" w:cs="Arial"/>
        </w:rPr>
      </w:pPr>
      <w:r w:rsidRPr="004375D7">
        <w:rPr>
          <w:rFonts w:ascii="Cambria" w:hAnsi="Cambria" w:cs="Arial"/>
        </w:rPr>
        <w:t>V bunke B38 sa pôvodný text:</w:t>
      </w:r>
    </w:p>
    <w:p w14:paraId="16B60DB6" w14:textId="77777777" w:rsidR="004375D7" w:rsidRPr="006B3B7E" w:rsidRDefault="004375D7" w:rsidP="004375D7">
      <w:pPr>
        <w:spacing w:after="0"/>
        <w:jc w:val="both"/>
        <w:rPr>
          <w:rFonts w:ascii="Cambria" w:hAnsi="Cambria" w:cs="Arial"/>
          <w:i/>
          <w:iCs/>
        </w:rPr>
      </w:pPr>
      <w:r w:rsidRPr="006B3B7E">
        <w:rPr>
          <w:rFonts w:ascii="Cambria" w:hAnsi="Cambria" w:cs="Arial"/>
          <w:i/>
          <w:iCs/>
        </w:rPr>
        <w:lastRenderedPageBreak/>
        <w:t>„(20 000 / 6) × súčet 6 prirážok“</w:t>
      </w:r>
    </w:p>
    <w:p w14:paraId="6138C58C" w14:textId="77777777" w:rsidR="004375D7" w:rsidRPr="006B3B7E" w:rsidRDefault="004375D7" w:rsidP="004375D7">
      <w:pPr>
        <w:spacing w:after="0"/>
        <w:jc w:val="both"/>
        <w:rPr>
          <w:rFonts w:ascii="Cambria" w:hAnsi="Cambria" w:cs="Arial"/>
          <w:i/>
          <w:iCs/>
        </w:rPr>
      </w:pPr>
      <w:r w:rsidRPr="006B3B7E">
        <w:rPr>
          <w:rFonts w:ascii="Cambria" w:hAnsi="Cambria" w:cs="Arial"/>
          <w:i/>
          <w:iCs/>
        </w:rPr>
        <w:t>nahrádza textom:</w:t>
      </w:r>
    </w:p>
    <w:p w14:paraId="59FF822B" w14:textId="77777777" w:rsidR="004375D7" w:rsidRPr="006B3B7E" w:rsidRDefault="004375D7" w:rsidP="004375D7">
      <w:pPr>
        <w:spacing w:after="0"/>
        <w:jc w:val="both"/>
        <w:rPr>
          <w:rFonts w:ascii="Cambria" w:hAnsi="Cambria" w:cs="Arial"/>
          <w:i/>
          <w:iCs/>
        </w:rPr>
      </w:pPr>
      <w:r w:rsidRPr="006B3B7E">
        <w:rPr>
          <w:rFonts w:ascii="Cambria" w:hAnsi="Cambria" w:cs="Arial"/>
          <w:i/>
          <w:iCs/>
        </w:rPr>
        <w:t>„(16 000 / 6) × súčet 6 prirážok“.</w:t>
      </w:r>
    </w:p>
    <w:p w14:paraId="3A31A48E" w14:textId="77777777" w:rsidR="004375D7" w:rsidRDefault="004375D7" w:rsidP="004375D7">
      <w:pPr>
        <w:spacing w:after="0"/>
        <w:jc w:val="both"/>
        <w:rPr>
          <w:rFonts w:ascii="Cambria" w:hAnsi="Cambria" w:cs="Arial"/>
        </w:rPr>
      </w:pPr>
      <w:r w:rsidRPr="004375D7">
        <w:rPr>
          <w:rFonts w:ascii="Cambria" w:hAnsi="Cambria" w:cs="Arial"/>
        </w:rPr>
        <w:t>Ide o zosúladenie textového označenia s bodom 36.7 koncesnej dokumentácie a s kontrolným vzorcom v bunke C38, ktorý už používal množstvo 16 000 kusov a nemení sa.</w:t>
      </w:r>
    </w:p>
    <w:p w14:paraId="0EEDA148" w14:textId="77777777" w:rsidR="006B3B7E" w:rsidRDefault="006B3B7E" w:rsidP="004375D7">
      <w:pPr>
        <w:spacing w:after="0"/>
        <w:jc w:val="both"/>
        <w:rPr>
          <w:rFonts w:ascii="Cambria" w:hAnsi="Cambria" w:cs="Arial"/>
        </w:rPr>
      </w:pPr>
    </w:p>
    <w:p w14:paraId="0FC35E92" w14:textId="27F6365E" w:rsidR="004375D7" w:rsidRDefault="004375D7" w:rsidP="004375D7">
      <w:pPr>
        <w:spacing w:after="0"/>
        <w:jc w:val="both"/>
        <w:rPr>
          <w:rFonts w:ascii="Cambria" w:hAnsi="Cambria" w:cs="Arial"/>
        </w:rPr>
      </w:pPr>
      <w:r>
        <w:rPr>
          <w:rFonts w:ascii="Cambria" w:hAnsi="Cambria" w:cs="Arial"/>
        </w:rPr>
        <w:t>Zmena je vyznačená červeným písmom.</w:t>
      </w:r>
    </w:p>
    <w:p w14:paraId="6139F063" w14:textId="77777777" w:rsidR="004375D7" w:rsidRPr="004375D7" w:rsidRDefault="004375D7" w:rsidP="004375D7">
      <w:pPr>
        <w:spacing w:after="0"/>
        <w:jc w:val="both"/>
        <w:rPr>
          <w:rFonts w:ascii="Cambria" w:hAnsi="Cambria" w:cs="Arial"/>
        </w:rPr>
      </w:pPr>
    </w:p>
    <w:p w14:paraId="1D82BBDF" w14:textId="4B890358" w:rsidR="004375D7" w:rsidRPr="006B3B7E" w:rsidRDefault="004375D7" w:rsidP="004375D7">
      <w:pPr>
        <w:spacing w:after="0"/>
        <w:jc w:val="both"/>
        <w:rPr>
          <w:rFonts w:ascii="Cambria" w:hAnsi="Cambria" w:cs="Arial"/>
          <w:u w:val="single"/>
        </w:rPr>
      </w:pPr>
      <w:r w:rsidRPr="006B3B7E">
        <w:rPr>
          <w:rFonts w:ascii="Cambria" w:hAnsi="Cambria" w:cs="Arial"/>
          <w:u w:val="single"/>
        </w:rPr>
        <w:t xml:space="preserve">d) Oprava modelovej spotovej ceny zlata na hárku </w:t>
      </w:r>
      <w:r w:rsidRPr="00BF665C">
        <w:rPr>
          <w:rFonts w:ascii="Cambria" w:hAnsi="Cambria" w:cs="Arial"/>
          <w:i/>
          <w:iCs/>
          <w:u w:val="single"/>
        </w:rPr>
        <w:t>„</w:t>
      </w:r>
      <w:proofErr w:type="spellStart"/>
      <w:r w:rsidRPr="00BF665C">
        <w:rPr>
          <w:rFonts w:ascii="Cambria" w:hAnsi="Cambria" w:cs="Arial"/>
          <w:i/>
          <w:iCs/>
          <w:u w:val="single"/>
        </w:rPr>
        <w:t>Formular</w:t>
      </w:r>
      <w:proofErr w:type="spellEnd"/>
      <w:r w:rsidRPr="00BF665C">
        <w:rPr>
          <w:rFonts w:ascii="Cambria" w:hAnsi="Cambria" w:cs="Arial"/>
          <w:i/>
          <w:iCs/>
          <w:u w:val="single"/>
        </w:rPr>
        <w:t>“</w:t>
      </w:r>
    </w:p>
    <w:p w14:paraId="3798DD2D" w14:textId="29BEDA7B" w:rsidR="004375D7" w:rsidRPr="004375D7" w:rsidRDefault="004375D7" w:rsidP="004375D7">
      <w:pPr>
        <w:spacing w:after="0"/>
        <w:jc w:val="both"/>
        <w:rPr>
          <w:rFonts w:ascii="Cambria" w:hAnsi="Cambria" w:cs="Arial"/>
        </w:rPr>
      </w:pPr>
      <w:r w:rsidRPr="004375D7">
        <w:rPr>
          <w:rFonts w:ascii="Cambria" w:hAnsi="Cambria" w:cs="Arial"/>
        </w:rPr>
        <w:t xml:space="preserve">Na hárku </w:t>
      </w:r>
      <w:r w:rsidRPr="00BF665C">
        <w:rPr>
          <w:rFonts w:ascii="Cambria" w:hAnsi="Cambria" w:cs="Arial"/>
          <w:i/>
          <w:iCs/>
        </w:rPr>
        <w:t>„</w:t>
      </w:r>
      <w:proofErr w:type="spellStart"/>
      <w:r w:rsidRPr="00BF665C">
        <w:rPr>
          <w:rFonts w:ascii="Cambria" w:hAnsi="Cambria" w:cs="Arial"/>
          <w:i/>
          <w:iCs/>
        </w:rPr>
        <w:t>Formular</w:t>
      </w:r>
      <w:proofErr w:type="spellEnd"/>
      <w:r w:rsidRPr="00BF665C">
        <w:rPr>
          <w:rFonts w:ascii="Cambria" w:hAnsi="Cambria" w:cs="Arial"/>
          <w:i/>
          <w:iCs/>
        </w:rPr>
        <w:t>“</w:t>
      </w:r>
      <w:r w:rsidRPr="004375D7">
        <w:rPr>
          <w:rFonts w:ascii="Cambria" w:hAnsi="Cambria" w:cs="Arial"/>
        </w:rPr>
        <w:t xml:space="preserve"> sa opravujú hodnoty v bunkách I14, I15 a I16</w:t>
      </w:r>
      <w:r>
        <w:rPr>
          <w:rFonts w:ascii="Cambria" w:hAnsi="Cambria" w:cs="Arial"/>
        </w:rPr>
        <w:t xml:space="preserve"> týkajúce sa modelovej spotovej hodnoty zlata.</w:t>
      </w:r>
    </w:p>
    <w:p w14:paraId="7E69C9CE" w14:textId="77777777" w:rsidR="004375D7" w:rsidRPr="004375D7" w:rsidRDefault="004375D7" w:rsidP="004375D7">
      <w:pPr>
        <w:spacing w:after="0"/>
        <w:jc w:val="both"/>
        <w:rPr>
          <w:rFonts w:ascii="Cambria" w:hAnsi="Cambria" w:cs="Arial"/>
        </w:rPr>
      </w:pPr>
    </w:p>
    <w:p w14:paraId="4F35BDD3" w14:textId="513D2673" w:rsidR="004375D7" w:rsidRDefault="004375D7" w:rsidP="004375D7">
      <w:pPr>
        <w:spacing w:after="0"/>
        <w:jc w:val="both"/>
        <w:rPr>
          <w:rFonts w:ascii="Cambria" w:hAnsi="Cambria" w:cs="Arial"/>
        </w:rPr>
      </w:pPr>
      <w:r w:rsidRPr="004375D7">
        <w:rPr>
          <w:rFonts w:ascii="Cambria" w:hAnsi="Cambria" w:cs="Arial"/>
        </w:rPr>
        <w:t>Opravená hodnota predstavuje modelovú spotovú cenu zlata 3 765,88 EUR za trojskú uncu podľa bodu 36.2 koncesnej dokumentácie, ktorá je spoločná pre všetky zlaté euromince bez ohľadu na ich hmotnosť.</w:t>
      </w:r>
      <w:r w:rsidR="006B3B7E">
        <w:rPr>
          <w:rFonts w:ascii="Cambria" w:hAnsi="Cambria" w:cs="Arial"/>
        </w:rPr>
        <w:t xml:space="preserve"> </w:t>
      </w:r>
      <w:r w:rsidRPr="004375D7">
        <w:rPr>
          <w:rFonts w:ascii="Cambria" w:hAnsi="Cambria" w:cs="Arial"/>
        </w:rPr>
        <w:t>V pôvodnom znení prílohy boli v uvedených bunkách použité hodnoty už prepočítané na hmotnosť príslušnej mince, pričom vzorce na výpočet modelovej jednotkovej ceny túto hmotnosť zohľadňovali opätovne. Opravou sa zabezpečuje, aby sa hmotnosť mince zohľadnila iba raz, v súlade so vzorcom uvedeným v bode 36.3 koncesnej dokumentácie.</w:t>
      </w:r>
    </w:p>
    <w:p w14:paraId="4178551F" w14:textId="77777777" w:rsidR="004375D7" w:rsidRPr="004375D7" w:rsidRDefault="004375D7" w:rsidP="004375D7">
      <w:pPr>
        <w:spacing w:after="0"/>
        <w:jc w:val="both"/>
        <w:rPr>
          <w:rFonts w:ascii="Cambria" w:hAnsi="Cambria" w:cs="Arial"/>
        </w:rPr>
      </w:pPr>
    </w:p>
    <w:p w14:paraId="5BC02204" w14:textId="37013663" w:rsidR="004375D7" w:rsidRDefault="004375D7" w:rsidP="004375D7">
      <w:pPr>
        <w:spacing w:after="0"/>
        <w:jc w:val="both"/>
        <w:rPr>
          <w:rFonts w:ascii="Cambria" w:hAnsi="Cambria" w:cs="Arial"/>
        </w:rPr>
      </w:pPr>
      <w:r w:rsidRPr="004375D7">
        <w:rPr>
          <w:rFonts w:ascii="Cambria" w:hAnsi="Cambria" w:cs="Arial"/>
        </w:rPr>
        <w:t>Modelová spotová cena zlata stanovená v bode 36.2 ani vzorec uvedený v bode 36.3 koncesnej dokumentácie sa nemenia.</w:t>
      </w:r>
    </w:p>
    <w:p w14:paraId="6D1FDF5D" w14:textId="77777777" w:rsidR="006B3B7E" w:rsidRDefault="006B3B7E" w:rsidP="004375D7">
      <w:pPr>
        <w:spacing w:after="0"/>
        <w:jc w:val="both"/>
        <w:rPr>
          <w:rFonts w:ascii="Cambria" w:hAnsi="Cambria" w:cs="Arial"/>
        </w:rPr>
      </w:pPr>
    </w:p>
    <w:p w14:paraId="028D238B" w14:textId="0F899C6D" w:rsidR="00737940" w:rsidRPr="00BF665C" w:rsidRDefault="006B3B7E" w:rsidP="004375D7">
      <w:pPr>
        <w:spacing w:after="0"/>
        <w:jc w:val="both"/>
        <w:rPr>
          <w:rFonts w:ascii="Cambria" w:hAnsi="Cambria" w:cs="Arial"/>
        </w:rPr>
      </w:pPr>
      <w:r>
        <w:rPr>
          <w:rFonts w:ascii="Cambria" w:hAnsi="Cambria" w:cs="Arial"/>
        </w:rPr>
        <w:t>Úpravy sú vyznačené červeným písmom.</w:t>
      </w:r>
    </w:p>
    <w:p w14:paraId="762C6169" w14:textId="77777777" w:rsidR="00BF665C" w:rsidRDefault="00BF665C" w:rsidP="004375D7">
      <w:pPr>
        <w:spacing w:after="0"/>
        <w:jc w:val="both"/>
        <w:rPr>
          <w:rFonts w:ascii="Cambria" w:hAnsi="Cambria" w:cs="Arial"/>
          <w:b/>
          <w:bCs/>
          <w:u w:val="single"/>
        </w:rPr>
      </w:pPr>
    </w:p>
    <w:p w14:paraId="18F5F9AB" w14:textId="0F752F8A" w:rsidR="00BF665C" w:rsidRPr="00BF665C" w:rsidRDefault="00BF665C" w:rsidP="00BF665C">
      <w:pPr>
        <w:spacing w:after="0"/>
        <w:jc w:val="both"/>
        <w:rPr>
          <w:rFonts w:ascii="Cambria" w:hAnsi="Cambria" w:cs="Arial"/>
          <w:b/>
          <w:bCs/>
        </w:rPr>
      </w:pPr>
      <w:r>
        <w:rPr>
          <w:rFonts w:ascii="Cambria" w:hAnsi="Cambria" w:cs="Arial"/>
          <w:b/>
          <w:bCs/>
        </w:rPr>
        <w:t xml:space="preserve">3. </w:t>
      </w:r>
      <w:r w:rsidRPr="00BF665C">
        <w:rPr>
          <w:rFonts w:ascii="Cambria" w:hAnsi="Cambria" w:cs="Arial"/>
          <w:b/>
          <w:bCs/>
        </w:rPr>
        <w:t>Predĺženie lehoty na predkladanie ponúk a zmena termínu otvárania ponúk</w:t>
      </w:r>
    </w:p>
    <w:p w14:paraId="21268974" w14:textId="7CC83FED" w:rsidR="00BF665C" w:rsidRDefault="00BF665C" w:rsidP="00BF665C">
      <w:pPr>
        <w:spacing w:after="0"/>
        <w:jc w:val="both"/>
        <w:rPr>
          <w:rFonts w:ascii="Cambria" w:hAnsi="Cambria" w:cs="Arial"/>
          <w:b/>
          <w:bCs/>
        </w:rPr>
      </w:pPr>
      <w:r w:rsidRPr="00BF665C">
        <w:rPr>
          <w:rFonts w:ascii="Cambria" w:hAnsi="Cambria" w:cs="Arial"/>
        </w:rPr>
        <w:t>V nadväznosti na vyššie uvedené zmeny koncesnej dokumentácie a jej prílohy č. 2 verejný obstarávateľ predlžuje lehotu na predkladanie ponúk</w:t>
      </w:r>
      <w:r>
        <w:rPr>
          <w:rFonts w:ascii="Cambria" w:hAnsi="Cambria" w:cs="Arial"/>
        </w:rPr>
        <w:t xml:space="preserve"> uvedenú v bode 21.2 koncesnej dokumentácie</w:t>
      </w:r>
      <w:r w:rsidRPr="00BF665C">
        <w:rPr>
          <w:rFonts w:ascii="Cambria" w:hAnsi="Cambria" w:cs="Arial"/>
        </w:rPr>
        <w:t xml:space="preserve"> z pôvodného termínu 30.10.2026 o 09:00 h. na nový termín </w:t>
      </w:r>
      <w:r w:rsidR="00EF6FC9">
        <w:rPr>
          <w:rFonts w:ascii="Cambria" w:hAnsi="Cambria" w:cs="Arial"/>
        </w:rPr>
        <w:t>0</w:t>
      </w:r>
      <w:r w:rsidRPr="00BF665C">
        <w:rPr>
          <w:rFonts w:ascii="Cambria" w:hAnsi="Cambria" w:cs="Arial"/>
          <w:b/>
          <w:bCs/>
        </w:rPr>
        <w:t xml:space="preserve">4.11.2026 </w:t>
      </w:r>
      <w:r w:rsidR="004817D2">
        <w:rPr>
          <w:rFonts w:ascii="Cambria" w:hAnsi="Cambria" w:cs="Arial"/>
          <w:b/>
          <w:bCs/>
        </w:rPr>
        <w:br/>
      </w:r>
      <w:r w:rsidRPr="00BF665C">
        <w:rPr>
          <w:rFonts w:ascii="Cambria" w:hAnsi="Cambria" w:cs="Arial"/>
          <w:b/>
          <w:bCs/>
        </w:rPr>
        <w:t>o 09:00 h.</w:t>
      </w:r>
    </w:p>
    <w:p w14:paraId="42C72F76" w14:textId="77777777" w:rsidR="00BF665C" w:rsidRDefault="00BF665C" w:rsidP="00BF665C">
      <w:pPr>
        <w:spacing w:after="0"/>
        <w:jc w:val="both"/>
        <w:rPr>
          <w:rFonts w:ascii="Cambria" w:hAnsi="Cambria" w:cs="Arial"/>
          <w:b/>
          <w:bCs/>
        </w:rPr>
      </w:pPr>
    </w:p>
    <w:p w14:paraId="0A7AC0F2" w14:textId="3B2DC64A" w:rsidR="00BF665C" w:rsidRDefault="00BF665C" w:rsidP="00BF665C">
      <w:pPr>
        <w:spacing w:after="0"/>
        <w:jc w:val="both"/>
        <w:rPr>
          <w:rFonts w:ascii="Cambria" w:hAnsi="Cambria" w:cs="Arial"/>
        </w:rPr>
      </w:pPr>
      <w:r w:rsidRPr="00BF665C">
        <w:rPr>
          <w:rFonts w:ascii="Cambria" w:hAnsi="Cambria" w:cs="Arial"/>
        </w:rPr>
        <w:t>V súvislosti s predĺžením lehoty na predkladanie ponúk sa termín otvárania ponúk</w:t>
      </w:r>
      <w:r>
        <w:rPr>
          <w:rFonts w:ascii="Cambria" w:hAnsi="Cambria" w:cs="Arial"/>
        </w:rPr>
        <w:t xml:space="preserve"> uvedený v bode 23.1 koncesnej dokumentácie</w:t>
      </w:r>
      <w:r w:rsidRPr="00BF665C">
        <w:rPr>
          <w:rFonts w:ascii="Cambria" w:hAnsi="Cambria" w:cs="Arial"/>
        </w:rPr>
        <w:t xml:space="preserve"> mení z pôvodného termínu 30.10.2026 o 14:00 h. na nový termín 4.11.2026 o 14:00 h.</w:t>
      </w:r>
    </w:p>
    <w:p w14:paraId="70AE9C59" w14:textId="77777777" w:rsidR="00BF665C" w:rsidRDefault="00BF665C" w:rsidP="00BF665C">
      <w:pPr>
        <w:spacing w:after="0"/>
        <w:jc w:val="both"/>
        <w:rPr>
          <w:rFonts w:ascii="Cambria" w:hAnsi="Cambria" w:cs="Arial"/>
        </w:rPr>
      </w:pPr>
    </w:p>
    <w:p w14:paraId="4AB1FF40" w14:textId="661CE2D7" w:rsidR="00BF665C" w:rsidRDefault="00BF665C" w:rsidP="004375D7">
      <w:pPr>
        <w:spacing w:after="0"/>
        <w:jc w:val="both"/>
        <w:rPr>
          <w:rFonts w:ascii="Cambria" w:hAnsi="Cambria" w:cs="Arial"/>
        </w:rPr>
      </w:pPr>
      <w:r w:rsidRPr="00BF665C">
        <w:rPr>
          <w:rFonts w:ascii="Cambria" w:hAnsi="Cambria" w:cs="Arial"/>
        </w:rPr>
        <w:t xml:space="preserve">Verejný obstarávateľ zabezpečí zodpovedajúcu úpravu oznámenia o koncesii prostredníctvom </w:t>
      </w:r>
      <w:proofErr w:type="spellStart"/>
      <w:r w:rsidRPr="00BF665C">
        <w:rPr>
          <w:rFonts w:ascii="Cambria" w:hAnsi="Cambria" w:cs="Arial"/>
        </w:rPr>
        <w:t>eForms</w:t>
      </w:r>
      <w:proofErr w:type="spellEnd"/>
      <w:r w:rsidRPr="00BF665C">
        <w:rPr>
          <w:rFonts w:ascii="Cambria" w:hAnsi="Cambria" w:cs="Arial"/>
        </w:rPr>
        <w:t>. Nová lehota na predkladanie ponúk a nový termín otvárania ponúk budú zároveň uvedené v systéme JOSEPHINE.</w:t>
      </w:r>
    </w:p>
    <w:p w14:paraId="240E82F2" w14:textId="77777777" w:rsidR="00BF665C" w:rsidRDefault="00BF665C" w:rsidP="004375D7">
      <w:pPr>
        <w:spacing w:after="0"/>
        <w:jc w:val="both"/>
        <w:rPr>
          <w:rFonts w:ascii="Cambria" w:hAnsi="Cambria" w:cs="Arial"/>
        </w:rPr>
      </w:pPr>
    </w:p>
    <w:p w14:paraId="08997769" w14:textId="77777777" w:rsidR="00BF665C" w:rsidRPr="006B3B7E" w:rsidRDefault="00BF665C" w:rsidP="00BF665C">
      <w:pPr>
        <w:spacing w:after="0"/>
        <w:jc w:val="both"/>
        <w:rPr>
          <w:rFonts w:ascii="Cambria" w:hAnsi="Cambria" w:cs="Arial"/>
          <w:b/>
          <w:bCs/>
        </w:rPr>
      </w:pPr>
      <w:r w:rsidRPr="006B3B7E">
        <w:rPr>
          <w:rFonts w:ascii="Cambria" w:hAnsi="Cambria" w:cs="Arial"/>
          <w:b/>
          <w:bCs/>
        </w:rPr>
        <w:t>Zverejnenie aktualizovaných dokumentov a pokyny na vypracovanie ponuky</w:t>
      </w:r>
    </w:p>
    <w:p w14:paraId="0286AD66" w14:textId="77777777" w:rsidR="00BF665C" w:rsidRDefault="00BF665C" w:rsidP="00BF665C">
      <w:pPr>
        <w:spacing w:after="0"/>
        <w:jc w:val="both"/>
        <w:rPr>
          <w:rFonts w:ascii="Cambria" w:hAnsi="Cambria" w:cs="Arial"/>
        </w:rPr>
      </w:pPr>
      <w:r w:rsidRPr="004375D7">
        <w:rPr>
          <w:rFonts w:ascii="Cambria" w:hAnsi="Cambria" w:cs="Arial"/>
        </w:rPr>
        <w:t>Verejný obstarávateľ súčasne s touto informáciou zverejňuje v systéme JOSEPHINE aktualizované znenie koncesnej dokumentácie a aktualizovanú prílohu č. 2 – Návrh na plnenie kritérií na vyhodnotenie ponúk. Aktualizované dokumenty nahrádzajú pôvodne zverejnené znenia týchto dokumentov.</w:t>
      </w:r>
    </w:p>
    <w:p w14:paraId="03B6C2A7" w14:textId="77777777" w:rsidR="00BF665C" w:rsidRPr="004375D7" w:rsidRDefault="00BF665C" w:rsidP="00BF665C">
      <w:pPr>
        <w:spacing w:after="0"/>
        <w:jc w:val="both"/>
        <w:rPr>
          <w:rFonts w:ascii="Cambria" w:hAnsi="Cambria" w:cs="Arial"/>
        </w:rPr>
      </w:pPr>
    </w:p>
    <w:p w14:paraId="48F56110" w14:textId="155634AC" w:rsidR="00BF665C" w:rsidRPr="00BF665C" w:rsidRDefault="00BF665C" w:rsidP="00BF665C">
      <w:pPr>
        <w:spacing w:after="0"/>
        <w:jc w:val="both"/>
        <w:rPr>
          <w:rFonts w:ascii="Cambria" w:hAnsi="Cambria" w:cs="Arial"/>
        </w:rPr>
      </w:pPr>
      <w:r w:rsidRPr="00BF665C">
        <w:rPr>
          <w:rFonts w:ascii="Cambria" w:hAnsi="Cambria" w:cs="Arial"/>
          <w:b/>
          <w:bCs/>
          <w:color w:val="FF0000"/>
          <w:u w:val="single"/>
        </w:rPr>
        <w:t>Uchádzači pri vypracovaní a predložení ponuky použijú aktualizovanú prílohu č. 2.</w:t>
      </w:r>
    </w:p>
    <w:p w14:paraId="17F9A04A" w14:textId="77777777" w:rsidR="004737E3" w:rsidRDefault="004737E3" w:rsidP="00094DEC">
      <w:pPr>
        <w:spacing w:after="0" w:line="240" w:lineRule="auto"/>
        <w:rPr>
          <w:rFonts w:ascii="Cambria" w:hAnsi="Cambria" w:cs="Arial"/>
        </w:rPr>
      </w:pPr>
    </w:p>
    <w:p w14:paraId="413ED75C" w14:textId="7080CB06" w:rsidR="00B82059" w:rsidRDefault="00FE0ACF" w:rsidP="00094DEC">
      <w:pPr>
        <w:spacing w:after="0" w:line="240" w:lineRule="auto"/>
        <w:rPr>
          <w:rFonts w:ascii="Cambria" w:hAnsi="Cambria" w:cs="Arial"/>
        </w:rPr>
      </w:pPr>
      <w:r w:rsidRPr="00FE0ACF">
        <w:rPr>
          <w:rFonts w:ascii="Cambria" w:hAnsi="Cambria" w:cs="Arial"/>
        </w:rPr>
        <w:t>Názov dokument</w:t>
      </w:r>
      <w:r w:rsidR="00B82059">
        <w:rPr>
          <w:rFonts w:ascii="Cambria" w:hAnsi="Cambria" w:cs="Arial"/>
        </w:rPr>
        <w:t>ov</w:t>
      </w:r>
      <w:r w:rsidRPr="00FE0ACF">
        <w:rPr>
          <w:rFonts w:ascii="Cambria" w:hAnsi="Cambria" w:cs="Arial"/>
        </w:rPr>
        <w:t xml:space="preserve">: </w:t>
      </w:r>
    </w:p>
    <w:p w14:paraId="21EDE22E" w14:textId="719A5F77" w:rsidR="00094DEC" w:rsidRDefault="004737E3" w:rsidP="00B82059">
      <w:pPr>
        <w:pStyle w:val="ListParagraph"/>
        <w:numPr>
          <w:ilvl w:val="0"/>
          <w:numId w:val="2"/>
        </w:numPr>
        <w:spacing w:after="0" w:line="240" w:lineRule="auto"/>
        <w:rPr>
          <w:rFonts w:ascii="Cambria" w:hAnsi="Cambria" w:cs="Arial"/>
        </w:rPr>
      </w:pPr>
      <w:r w:rsidRPr="004737E3">
        <w:rPr>
          <w:rFonts w:ascii="Cambria" w:hAnsi="Cambria" w:cs="Arial"/>
        </w:rPr>
        <w:lastRenderedPageBreak/>
        <w:t>15.10.2026 Koncesna_dokumentacia_nadlimitna_koncesia_BIATEC_úprava</w:t>
      </w:r>
      <w:r w:rsidR="00C34E11" w:rsidRPr="00B82059">
        <w:rPr>
          <w:rFonts w:ascii="Cambria" w:hAnsi="Cambria" w:cs="Arial"/>
        </w:rPr>
        <w:t>.docx</w:t>
      </w:r>
    </w:p>
    <w:p w14:paraId="08A589C9" w14:textId="48808139" w:rsidR="00094DEC" w:rsidRPr="00BF665C" w:rsidRDefault="004737E3" w:rsidP="009D5299">
      <w:pPr>
        <w:pStyle w:val="ListParagraph"/>
        <w:numPr>
          <w:ilvl w:val="0"/>
          <w:numId w:val="2"/>
        </w:numPr>
        <w:spacing w:after="0" w:line="240" w:lineRule="auto"/>
        <w:rPr>
          <w:rFonts w:ascii="Cambria" w:hAnsi="Cambria" w:cs="Arial"/>
        </w:rPr>
      </w:pPr>
      <w:r w:rsidRPr="004737E3">
        <w:rPr>
          <w:rFonts w:ascii="Cambria" w:hAnsi="Cambria" w:cs="Arial"/>
        </w:rPr>
        <w:t>15.10.2026 Príloha č. 2 – Návrh na plnenie kritérií na vyhodnotenie ponúk_úprava</w:t>
      </w:r>
      <w:r>
        <w:rPr>
          <w:rFonts w:ascii="Cambria" w:hAnsi="Cambria" w:cs="Arial"/>
        </w:rPr>
        <w:t>.xlsx</w:t>
      </w:r>
      <w:bookmarkEnd w:id="1"/>
    </w:p>
    <w:sectPr w:rsidR="00094DEC" w:rsidRPr="00BF66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264D" w14:textId="77777777" w:rsidR="009271EB" w:rsidRDefault="009271EB" w:rsidP="008136CD">
      <w:pPr>
        <w:spacing w:after="0" w:line="240" w:lineRule="auto"/>
      </w:pPr>
      <w:r>
        <w:separator/>
      </w:r>
    </w:p>
  </w:endnote>
  <w:endnote w:type="continuationSeparator" w:id="0">
    <w:p w14:paraId="67C81BF7" w14:textId="77777777" w:rsidR="009271EB" w:rsidRDefault="009271EB" w:rsidP="0081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A9918" w14:textId="77777777" w:rsidR="009271EB" w:rsidRDefault="009271EB" w:rsidP="008136CD">
      <w:pPr>
        <w:spacing w:after="0" w:line="240" w:lineRule="auto"/>
      </w:pPr>
      <w:r>
        <w:separator/>
      </w:r>
    </w:p>
  </w:footnote>
  <w:footnote w:type="continuationSeparator" w:id="0">
    <w:p w14:paraId="1FAA6B37" w14:textId="77777777" w:rsidR="009271EB" w:rsidRDefault="009271EB" w:rsidP="00813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E2A22"/>
    <w:multiLevelType w:val="hybridMultilevel"/>
    <w:tmpl w:val="F17011D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AA6655A"/>
    <w:multiLevelType w:val="hybridMultilevel"/>
    <w:tmpl w:val="041A97D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55433515">
    <w:abstractNumId w:val="0"/>
  </w:num>
  <w:num w:numId="2" w16cid:durableId="202519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EC"/>
    <w:rsid w:val="000505CE"/>
    <w:rsid w:val="00064EDB"/>
    <w:rsid w:val="000705BF"/>
    <w:rsid w:val="00094DEC"/>
    <w:rsid w:val="001443B2"/>
    <w:rsid w:val="001C0C4A"/>
    <w:rsid w:val="001D6AA2"/>
    <w:rsid w:val="00226FDD"/>
    <w:rsid w:val="002361CB"/>
    <w:rsid w:val="00284A16"/>
    <w:rsid w:val="002B12B2"/>
    <w:rsid w:val="002B5828"/>
    <w:rsid w:val="00317750"/>
    <w:rsid w:val="00357BF1"/>
    <w:rsid w:val="003E5F26"/>
    <w:rsid w:val="004375D7"/>
    <w:rsid w:val="004737E3"/>
    <w:rsid w:val="004817D2"/>
    <w:rsid w:val="0049155C"/>
    <w:rsid w:val="0051071E"/>
    <w:rsid w:val="00516F46"/>
    <w:rsid w:val="00565097"/>
    <w:rsid w:val="0058037F"/>
    <w:rsid w:val="0059609E"/>
    <w:rsid w:val="005A4916"/>
    <w:rsid w:val="005E41BE"/>
    <w:rsid w:val="005F6C70"/>
    <w:rsid w:val="005F7595"/>
    <w:rsid w:val="00632089"/>
    <w:rsid w:val="00650F47"/>
    <w:rsid w:val="0069506E"/>
    <w:rsid w:val="006B3B7E"/>
    <w:rsid w:val="006F20C4"/>
    <w:rsid w:val="006F7B7B"/>
    <w:rsid w:val="00702396"/>
    <w:rsid w:val="00720ADF"/>
    <w:rsid w:val="00725AF1"/>
    <w:rsid w:val="00737940"/>
    <w:rsid w:val="00745310"/>
    <w:rsid w:val="00783958"/>
    <w:rsid w:val="007E6040"/>
    <w:rsid w:val="008136CD"/>
    <w:rsid w:val="00867A88"/>
    <w:rsid w:val="008B7F49"/>
    <w:rsid w:val="008C09AA"/>
    <w:rsid w:val="008F2F3D"/>
    <w:rsid w:val="009271EB"/>
    <w:rsid w:val="009514AD"/>
    <w:rsid w:val="00952974"/>
    <w:rsid w:val="009652B1"/>
    <w:rsid w:val="009A5DE3"/>
    <w:rsid w:val="009B3EB6"/>
    <w:rsid w:val="009D5299"/>
    <w:rsid w:val="009D5C5F"/>
    <w:rsid w:val="00A03650"/>
    <w:rsid w:val="00A06522"/>
    <w:rsid w:val="00A112FD"/>
    <w:rsid w:val="00A11CCB"/>
    <w:rsid w:val="00A524C9"/>
    <w:rsid w:val="00B621B8"/>
    <w:rsid w:val="00B82059"/>
    <w:rsid w:val="00BC1FB5"/>
    <w:rsid w:val="00BF04BF"/>
    <w:rsid w:val="00BF665C"/>
    <w:rsid w:val="00C34E11"/>
    <w:rsid w:val="00C41174"/>
    <w:rsid w:val="00CB1EC7"/>
    <w:rsid w:val="00CF1CA9"/>
    <w:rsid w:val="00D04521"/>
    <w:rsid w:val="00D2435D"/>
    <w:rsid w:val="00D94A23"/>
    <w:rsid w:val="00E211FB"/>
    <w:rsid w:val="00E75AF0"/>
    <w:rsid w:val="00E81FF4"/>
    <w:rsid w:val="00E84B93"/>
    <w:rsid w:val="00ED0B26"/>
    <w:rsid w:val="00EF6FC9"/>
    <w:rsid w:val="00FD2425"/>
    <w:rsid w:val="00FE0ACF"/>
    <w:rsid w:val="00FE430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4FE5"/>
  <w15:docId w15:val="{0C5B12F6-C005-4393-BAA0-72EFE9A2E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4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DEC"/>
    <w:rPr>
      <w:rFonts w:ascii="Tahoma" w:hAnsi="Tahoma" w:cs="Tahoma"/>
      <w:sz w:val="16"/>
      <w:szCs w:val="16"/>
    </w:rPr>
  </w:style>
  <w:style w:type="character" w:styleId="Hyperlink">
    <w:name w:val="Hyperlink"/>
    <w:basedOn w:val="DefaultParagraphFont"/>
    <w:uiPriority w:val="99"/>
    <w:unhideWhenUsed/>
    <w:rsid w:val="00094DEC"/>
    <w:rPr>
      <w:color w:val="0000FF" w:themeColor="hyperlink"/>
      <w:u w:val="single"/>
    </w:rPr>
  </w:style>
  <w:style w:type="character" w:styleId="UnresolvedMention">
    <w:name w:val="Unresolved Mention"/>
    <w:basedOn w:val="DefaultParagraphFont"/>
    <w:uiPriority w:val="99"/>
    <w:semiHidden/>
    <w:unhideWhenUsed/>
    <w:rsid w:val="00516F46"/>
    <w:rPr>
      <w:color w:val="808080"/>
      <w:shd w:val="clear" w:color="auto" w:fill="E6E6E6"/>
    </w:rPr>
  </w:style>
  <w:style w:type="character" w:styleId="FollowedHyperlink">
    <w:name w:val="FollowedHyperlink"/>
    <w:basedOn w:val="DefaultParagraphFont"/>
    <w:uiPriority w:val="99"/>
    <w:semiHidden/>
    <w:unhideWhenUsed/>
    <w:rsid w:val="00650F47"/>
    <w:rPr>
      <w:color w:val="800080" w:themeColor="followedHyperlink"/>
      <w:u w:val="single"/>
    </w:rPr>
  </w:style>
  <w:style w:type="character" w:styleId="CommentReference">
    <w:name w:val="annotation reference"/>
    <w:basedOn w:val="DefaultParagraphFont"/>
    <w:uiPriority w:val="99"/>
    <w:semiHidden/>
    <w:unhideWhenUsed/>
    <w:rsid w:val="006F20C4"/>
    <w:rPr>
      <w:sz w:val="16"/>
      <w:szCs w:val="16"/>
    </w:rPr>
  </w:style>
  <w:style w:type="paragraph" w:styleId="CommentText">
    <w:name w:val="annotation text"/>
    <w:basedOn w:val="Normal"/>
    <w:link w:val="CommentTextChar"/>
    <w:uiPriority w:val="99"/>
    <w:semiHidden/>
    <w:unhideWhenUsed/>
    <w:rsid w:val="006F20C4"/>
    <w:pPr>
      <w:spacing w:line="240" w:lineRule="auto"/>
    </w:pPr>
    <w:rPr>
      <w:sz w:val="20"/>
      <w:szCs w:val="20"/>
    </w:rPr>
  </w:style>
  <w:style w:type="character" w:customStyle="1" w:styleId="CommentTextChar">
    <w:name w:val="Comment Text Char"/>
    <w:basedOn w:val="DefaultParagraphFont"/>
    <w:link w:val="CommentText"/>
    <w:uiPriority w:val="99"/>
    <w:semiHidden/>
    <w:rsid w:val="006F20C4"/>
    <w:rPr>
      <w:sz w:val="20"/>
      <w:szCs w:val="20"/>
    </w:rPr>
  </w:style>
  <w:style w:type="paragraph" w:styleId="CommentSubject">
    <w:name w:val="annotation subject"/>
    <w:basedOn w:val="CommentText"/>
    <w:next w:val="CommentText"/>
    <w:link w:val="CommentSubjectChar"/>
    <w:uiPriority w:val="99"/>
    <w:semiHidden/>
    <w:unhideWhenUsed/>
    <w:rsid w:val="006F20C4"/>
    <w:rPr>
      <w:b/>
      <w:bCs/>
    </w:rPr>
  </w:style>
  <w:style w:type="character" w:customStyle="1" w:styleId="CommentSubjectChar">
    <w:name w:val="Comment Subject Char"/>
    <w:basedOn w:val="CommentTextChar"/>
    <w:link w:val="CommentSubject"/>
    <w:uiPriority w:val="99"/>
    <w:semiHidden/>
    <w:rsid w:val="006F20C4"/>
    <w:rPr>
      <w:b/>
      <w:bCs/>
      <w:sz w:val="20"/>
      <w:szCs w:val="20"/>
    </w:rPr>
  </w:style>
  <w:style w:type="paragraph" w:styleId="Revision">
    <w:name w:val="Revision"/>
    <w:hidden/>
    <w:uiPriority w:val="99"/>
    <w:semiHidden/>
    <w:rsid w:val="009D5299"/>
    <w:pPr>
      <w:spacing w:after="0" w:line="240" w:lineRule="auto"/>
    </w:pPr>
  </w:style>
  <w:style w:type="paragraph" w:styleId="ListParagraph">
    <w:name w:val="List Paragraph"/>
    <w:basedOn w:val="Normal"/>
    <w:uiPriority w:val="34"/>
    <w:qFormat/>
    <w:rsid w:val="00B82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NARODNA BANKA SLOVENSKA</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Tazberík Ján Miloslav</cp:lastModifiedBy>
  <cp:revision>8</cp:revision>
  <cp:lastPrinted>2020-08-11T05:21:00Z</cp:lastPrinted>
  <dcterms:created xsi:type="dcterms:W3CDTF">2024-05-22T07:30:00Z</dcterms:created>
  <dcterms:modified xsi:type="dcterms:W3CDTF">2026-10-15T10:16:00Z</dcterms:modified>
</cp:coreProperties>
</file>