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0D4F9" w14:textId="77777777" w:rsidR="00DA32F0" w:rsidRPr="00172B20" w:rsidRDefault="00E31454">
      <w:pPr>
        <w:spacing w:after="60"/>
        <w:rPr>
          <w:rFonts w:ascii="Cambria" w:hAnsi="Cambria"/>
        </w:rPr>
      </w:pPr>
      <w:r>
        <w:rPr>
          <w:rFonts w:ascii="Cambria" w:hAnsi="Cambria"/>
          <w:b/>
          <w:bCs/>
          <w:sz w:val="26"/>
          <w:szCs w:val="26"/>
        </w:rPr>
        <w:t>Príloha č. 3 – Špecifikácia ceny Servisných služieb</w:t>
      </w:r>
    </w:p>
    <w:p w14:paraId="0AD0D4FA" w14:textId="77777777" w:rsidR="00DA32F0" w:rsidRPr="00172B20" w:rsidRDefault="00E31454">
      <w:pPr>
        <w:spacing w:after="240"/>
        <w:rPr>
          <w:rFonts w:ascii="Cambria" w:hAnsi="Cambria"/>
        </w:rPr>
      </w:pPr>
      <w:r>
        <w:rPr>
          <w:rFonts w:ascii="Cambria" w:hAnsi="Cambria"/>
        </w:rPr>
        <w:t>k Servisnej zmluve č. C-NBS1-000-125-422</w:t>
      </w:r>
    </w:p>
    <w:p w14:paraId="0AD0D4FB" w14:textId="77777777" w:rsidR="00DA32F0" w:rsidRPr="00172B20" w:rsidRDefault="00E31454">
      <w:pPr>
        <w:spacing w:after="120"/>
        <w:rPr>
          <w:rFonts w:ascii="Cambria" w:hAnsi="Cambria"/>
        </w:rPr>
      </w:pPr>
      <w:r>
        <w:rPr>
          <w:rFonts w:ascii="Cambria" w:hAnsi="Cambria"/>
          <w:b/>
          <w:bCs/>
          <w:sz w:val="21"/>
          <w:szCs w:val="21"/>
        </w:rPr>
        <w:t>Pokyny na vyplnenie cenovej špecifikácie</w:t>
      </w:r>
    </w:p>
    <w:p w14:paraId="3619C4F4" w14:textId="77777777" w:rsidR="00B92C48" w:rsidRPr="00B92C48" w:rsidRDefault="00B92C48" w:rsidP="00B92C48">
      <w:pPr>
        <w:pStyle w:val="ListParagraph"/>
        <w:numPr>
          <w:ilvl w:val="0"/>
          <w:numId w:val="2"/>
        </w:numPr>
        <w:spacing w:after="80"/>
        <w:jc w:val="both"/>
        <w:rPr>
          <w:rFonts w:ascii="Cambria" w:hAnsi="Cambria"/>
          <w:sz w:val="19"/>
          <w:szCs w:val="19"/>
        </w:rPr>
      </w:pPr>
      <w:r w:rsidRPr="00B92C48">
        <w:rPr>
          <w:rFonts w:ascii="Cambria" w:hAnsi="Cambria"/>
          <w:sz w:val="19"/>
          <w:szCs w:val="19"/>
        </w:rPr>
        <w:t xml:space="preserve">Táto príloha je obsahovo zhodná s príslušnými tabuľkami prílohy č. 9 Súťažných podkladov (Návrh na plnenie kritérií na hodnotenie ponúk). </w:t>
      </w:r>
      <w:r w:rsidRPr="00935F25">
        <w:rPr>
          <w:rFonts w:ascii="Cambria" w:hAnsi="Cambria"/>
          <w:b/>
          <w:bCs/>
          <w:i/>
          <w:iCs/>
          <w:sz w:val="19"/>
          <w:szCs w:val="19"/>
        </w:rPr>
        <w:t>Označenie jednotlivých tabuliek písmenami v tejto prílohe a v prílohe č. 9 Súťažných podkladov sa môže odlišovať</w:t>
      </w:r>
      <w:r w:rsidRPr="00A4388B">
        <w:rPr>
          <w:rFonts w:ascii="Cambria" w:hAnsi="Cambria"/>
          <w:b/>
          <w:bCs/>
          <w:sz w:val="19"/>
          <w:szCs w:val="19"/>
        </w:rPr>
        <w:t xml:space="preserve">; </w:t>
      </w:r>
      <w:r w:rsidRPr="008010AC">
        <w:rPr>
          <w:rFonts w:ascii="Cambria" w:hAnsi="Cambria"/>
          <w:b/>
          <w:bCs/>
          <w:sz w:val="19"/>
          <w:szCs w:val="19"/>
        </w:rPr>
        <w:t>rozhodujúca je ich obsahová a vecná zhodnosť a identifikácia príslušných položiek podľa ich názvu a obsahu</w:t>
      </w:r>
      <w:r w:rsidRPr="00B92C48">
        <w:rPr>
          <w:rFonts w:ascii="Cambria" w:hAnsi="Cambria"/>
          <w:sz w:val="19"/>
          <w:szCs w:val="19"/>
        </w:rPr>
        <w:t>. Ceny uvedené v tejto prílohe musia byť totožné s cenami uvedenými pri zodpovedajúcich položkách v návrhu na plnenie kritérií.</w:t>
      </w:r>
    </w:p>
    <w:p w14:paraId="0AD0D4FD" w14:textId="7C8D9624" w:rsidR="00DA32F0" w:rsidRPr="00172B20" w:rsidRDefault="00E31454">
      <w:pPr>
        <w:pStyle w:val="ListParagraph"/>
        <w:numPr>
          <w:ilvl w:val="0"/>
          <w:numId w:val="2"/>
        </w:numPr>
        <w:spacing w:after="80"/>
        <w:jc w:val="both"/>
        <w:rPr>
          <w:rFonts w:ascii="Cambria" w:hAnsi="Cambria"/>
        </w:rPr>
      </w:pPr>
      <w:r>
        <w:rPr>
          <w:rFonts w:ascii="Cambria" w:hAnsi="Cambria"/>
          <w:sz w:val="19"/>
          <w:szCs w:val="19"/>
        </w:rPr>
        <w:t xml:space="preserve">Služby sa oceňujú modelom „klik </w:t>
      </w:r>
      <w:proofErr w:type="spellStart"/>
      <w:r>
        <w:rPr>
          <w:rFonts w:ascii="Cambria" w:hAnsi="Cambria"/>
          <w:sz w:val="19"/>
          <w:szCs w:val="19"/>
        </w:rPr>
        <w:t>all-inclusive</w:t>
      </w:r>
      <w:proofErr w:type="spellEnd"/>
      <w:r>
        <w:rPr>
          <w:rFonts w:ascii="Cambria" w:hAnsi="Cambria"/>
          <w:sz w:val="19"/>
          <w:szCs w:val="19"/>
        </w:rPr>
        <w:t>“. HW servis multifunkčných zariadení a čítačiek kariet sa neoceňuje paušálom; je v plnom rozsahu zahrnutý v cene za 1 A4 stranu podľa tabuľky H (v opcii podľa tabuľky L). Cena za 1 A4 stranu zahŕňa všetky náklady na prevádzku zariadenia okrem papiera, najmä originálny OEM spotrebný materiál vrátane dodávky tonerov, HW servis, náhradné diely, prácu technika, výjazdy, dopravu, preventívnu údržbu a výmenu zariadení.</w:t>
      </w:r>
    </w:p>
    <w:p w14:paraId="0AD0D4FE" w14:textId="08BC7EC0" w:rsidR="00DA32F0" w:rsidRPr="00172B20" w:rsidRDefault="00E35455">
      <w:pPr>
        <w:pStyle w:val="ListParagraph"/>
        <w:numPr>
          <w:ilvl w:val="0"/>
          <w:numId w:val="2"/>
        </w:numPr>
        <w:spacing w:after="80"/>
        <w:jc w:val="both"/>
        <w:rPr>
          <w:rFonts w:ascii="Cambria" w:hAnsi="Cambria"/>
        </w:rPr>
      </w:pPr>
      <w:r w:rsidRPr="00E35455">
        <w:rPr>
          <w:rFonts w:ascii="Cambria" w:hAnsi="Cambria"/>
          <w:sz w:val="19"/>
          <w:szCs w:val="19"/>
        </w:rPr>
        <w:t xml:space="preserve">Paušál podľa tabuľky G sa oceňuje ako cena za 1 zariadenie a 1 mesiac a zahŕňa komplexnú softvérovú podporu – </w:t>
      </w:r>
      <w:proofErr w:type="spellStart"/>
      <w:r w:rsidRPr="00E35455">
        <w:rPr>
          <w:rFonts w:ascii="Cambria" w:hAnsi="Cambria"/>
          <w:sz w:val="19"/>
          <w:szCs w:val="19"/>
        </w:rPr>
        <w:t>maintenance</w:t>
      </w:r>
      <w:proofErr w:type="spellEnd"/>
      <w:r w:rsidRPr="00E35455">
        <w:rPr>
          <w:rFonts w:ascii="Cambria" w:hAnsi="Cambria"/>
          <w:sz w:val="19"/>
          <w:szCs w:val="19"/>
        </w:rPr>
        <w:t xml:space="preserve">, </w:t>
      </w:r>
      <w:proofErr w:type="spellStart"/>
      <w:r w:rsidRPr="00E35455">
        <w:rPr>
          <w:rFonts w:ascii="Cambria" w:hAnsi="Cambria"/>
          <w:sz w:val="19"/>
          <w:szCs w:val="19"/>
        </w:rPr>
        <w:t>support</w:t>
      </w:r>
      <w:proofErr w:type="spellEnd"/>
      <w:r w:rsidRPr="00E35455">
        <w:rPr>
          <w:rFonts w:ascii="Cambria" w:hAnsi="Cambria"/>
          <w:sz w:val="19"/>
          <w:szCs w:val="19"/>
        </w:rPr>
        <w:t xml:space="preserve"> a software </w:t>
      </w:r>
      <w:proofErr w:type="spellStart"/>
      <w:r w:rsidRPr="00E35455">
        <w:rPr>
          <w:rFonts w:ascii="Cambria" w:hAnsi="Cambria"/>
          <w:sz w:val="19"/>
          <w:szCs w:val="19"/>
        </w:rPr>
        <w:t>assurance</w:t>
      </w:r>
      <w:proofErr w:type="spellEnd"/>
      <w:r w:rsidRPr="00E35455">
        <w:rPr>
          <w:rFonts w:ascii="Cambria" w:hAnsi="Cambria"/>
          <w:sz w:val="19"/>
          <w:szCs w:val="19"/>
        </w:rPr>
        <w:t>, bezpečnostné aktualizácie a upgrady k licenciám podľa tabuľky B Prílohy 2 Zmluvy o dielo, podporu a servis softvérových komponentov serverovej časti riešenia podľa položky B.1 Prílohy 2 Zmluvy o dielo (bez serverového prostredia, operačných systémov a zálohovacej infraštruktúry zabezpečovaných objednávateľom) vrátane zálohovania a obnovy aplikačných údajov a konfigurácií, softvérový monitoring, incident/</w:t>
      </w:r>
      <w:proofErr w:type="spellStart"/>
      <w:r w:rsidRPr="00E35455">
        <w:rPr>
          <w:rFonts w:ascii="Cambria" w:hAnsi="Cambria"/>
          <w:sz w:val="19"/>
          <w:szCs w:val="19"/>
        </w:rPr>
        <w:t>problem</w:t>
      </w:r>
      <w:proofErr w:type="spellEnd"/>
      <w:r w:rsidRPr="00E35455">
        <w:rPr>
          <w:rFonts w:ascii="Cambria" w:hAnsi="Cambria"/>
          <w:sz w:val="19"/>
          <w:szCs w:val="19"/>
        </w:rPr>
        <w:t xml:space="preserve"> management pre softvérové riešenie, servisný </w:t>
      </w:r>
      <w:proofErr w:type="spellStart"/>
      <w:r w:rsidRPr="00E35455">
        <w:rPr>
          <w:rFonts w:ascii="Cambria" w:hAnsi="Cambria"/>
          <w:sz w:val="19"/>
          <w:szCs w:val="19"/>
        </w:rPr>
        <w:t>reporting</w:t>
      </w:r>
      <w:proofErr w:type="spellEnd"/>
      <w:r w:rsidRPr="00E35455">
        <w:rPr>
          <w:rFonts w:ascii="Cambria" w:hAnsi="Cambria"/>
          <w:sz w:val="19"/>
          <w:szCs w:val="19"/>
        </w:rPr>
        <w:t xml:space="preserve"> a štandardnú </w:t>
      </w:r>
      <w:proofErr w:type="spellStart"/>
      <w:r w:rsidRPr="00E35455">
        <w:rPr>
          <w:rFonts w:ascii="Cambria" w:hAnsi="Cambria"/>
          <w:sz w:val="19"/>
          <w:szCs w:val="19"/>
        </w:rPr>
        <w:t>exit</w:t>
      </w:r>
      <w:proofErr w:type="spellEnd"/>
      <w:r w:rsidRPr="00E35455">
        <w:rPr>
          <w:rFonts w:ascii="Cambria" w:hAnsi="Cambria"/>
          <w:sz w:val="19"/>
          <w:szCs w:val="19"/>
        </w:rPr>
        <w:t xml:space="preserve"> súčinnosť podľa článku X Servisnej zmluvy. Paušál nezahŕňa cenu licencií, predplatného a oprávnení ocenených v tabuľke B Prílohy 2 Zmluvy o dielo; ak je podpora neoddeliteľnou súčasťou predplatného oceneného v tabuľke B, v paušále sa oceňujú iba plnenia nad jej rámec. Ten istý náklad nesmie byť ocenený súčasne v tejto prílohe a v Prílohe 2 Zmluvy o dielo</w:t>
      </w:r>
      <w:r w:rsidR="00E31454">
        <w:rPr>
          <w:rFonts w:ascii="Cambria" w:hAnsi="Cambria"/>
          <w:sz w:val="19"/>
          <w:szCs w:val="19"/>
        </w:rPr>
        <w:t>. Rovnaká jednotková cena sa uplatní na zariadenia dodané v rámci opcie podľa článku XI Zmluvy o dielo, a to odo dňa nasledujúceho po ich protokolárnom uvedení do prevádzky. Paušál sa fakturuje mesačne pozadu podľa počtu zariadení v prevádzke.</w:t>
      </w:r>
    </w:p>
    <w:p w14:paraId="0AD0D4FF" w14:textId="2C32FBAC" w:rsidR="00DA32F0" w:rsidRPr="00172B20" w:rsidRDefault="00E31454">
      <w:pPr>
        <w:pStyle w:val="ListParagraph"/>
        <w:numPr>
          <w:ilvl w:val="0"/>
          <w:numId w:val="2"/>
        </w:numPr>
        <w:spacing w:after="80"/>
        <w:jc w:val="both"/>
        <w:rPr>
          <w:rFonts w:ascii="Cambria" w:hAnsi="Cambria"/>
        </w:rPr>
      </w:pPr>
      <w:r>
        <w:rPr>
          <w:rFonts w:ascii="Cambria" w:hAnsi="Cambria"/>
          <w:sz w:val="19"/>
          <w:szCs w:val="19"/>
        </w:rPr>
        <w:t xml:space="preserve">Pre cenu za stranu platí: 1 strana A3 sa započítava ako 2 strany A4; obojstranná tlač sa započítava ako 2 strany. Cena za 1 A4 stranu sa uvádza v eurách bez DPH s presnosťou na </w:t>
      </w:r>
      <w:r w:rsidR="00D9384E">
        <w:rPr>
          <w:rFonts w:ascii="Cambria" w:hAnsi="Cambria"/>
          <w:sz w:val="19"/>
          <w:szCs w:val="19"/>
        </w:rPr>
        <w:t>štyri</w:t>
      </w:r>
      <w:r>
        <w:rPr>
          <w:rFonts w:ascii="Cambria" w:hAnsi="Cambria"/>
          <w:sz w:val="19"/>
          <w:szCs w:val="19"/>
        </w:rPr>
        <w:t xml:space="preserve"> desatinné miesta. Počet strán sa určuje podľa počítadiel zariadení odčítaných prostredníctvom softvéru na monitoring multifunkčných zariadení a fakturuje sa mesačne pozadu podľa skutočného počtu vytlačených strán.</w:t>
      </w:r>
    </w:p>
    <w:p w14:paraId="0AD0D500" w14:textId="221F1663" w:rsidR="00DA32F0" w:rsidRPr="00172B20" w:rsidRDefault="00E31454">
      <w:pPr>
        <w:pStyle w:val="ListParagraph"/>
        <w:numPr>
          <w:ilvl w:val="0"/>
          <w:numId w:val="2"/>
        </w:numPr>
        <w:spacing w:after="80"/>
        <w:jc w:val="both"/>
        <w:rPr>
          <w:rFonts w:ascii="Cambria" w:hAnsi="Cambria"/>
        </w:rPr>
      </w:pPr>
      <w:r>
        <w:rPr>
          <w:rFonts w:ascii="Cambria" w:hAnsi="Cambria"/>
          <w:sz w:val="19"/>
          <w:szCs w:val="19"/>
        </w:rPr>
        <w:t>Predpokladané množstvá v tabuľkách H a L slúžia výlučne na účely hodnotenia ponúk. Objednávateľ nie je povinný odobrať žiadny minimálny objem strán; poskytovateľ nie je oprávnený podmieniť cenu minimálnym mesačným objemom tlače ani minimálnou fakturáciou.</w:t>
      </w:r>
    </w:p>
    <w:p w14:paraId="0AD0D501" w14:textId="1DAA97DA" w:rsidR="00DA32F0" w:rsidRPr="00172B20" w:rsidRDefault="00E31454">
      <w:pPr>
        <w:pStyle w:val="ListParagraph"/>
        <w:numPr>
          <w:ilvl w:val="0"/>
          <w:numId w:val="2"/>
        </w:numPr>
        <w:spacing w:after="80"/>
        <w:jc w:val="both"/>
        <w:rPr>
          <w:rFonts w:ascii="Cambria" w:hAnsi="Cambria"/>
        </w:rPr>
      </w:pPr>
      <w:r>
        <w:rPr>
          <w:rFonts w:ascii="Cambria" w:hAnsi="Cambria"/>
          <w:sz w:val="19"/>
          <w:szCs w:val="19"/>
        </w:rPr>
        <w:t>Jednotkové ceny za 1 A4 stranu podľa tabuľky H sa uplatnia rovnako aj na multifunkčné zariadenia dodané v rámci opcie podľa článku XI Zmluvy o dielo, a to odo dňa nasledujúceho po ich protokolárnom uvedení do prevádzky.</w:t>
      </w:r>
    </w:p>
    <w:p w14:paraId="0AD0D502" w14:textId="77777777" w:rsidR="00DA32F0" w:rsidRPr="00172B20" w:rsidRDefault="00E31454">
      <w:pPr>
        <w:pStyle w:val="ListParagraph"/>
        <w:numPr>
          <w:ilvl w:val="0"/>
          <w:numId w:val="2"/>
        </w:numPr>
        <w:spacing w:after="80"/>
        <w:jc w:val="both"/>
        <w:rPr>
          <w:rFonts w:ascii="Cambria" w:hAnsi="Cambria"/>
        </w:rPr>
      </w:pPr>
      <w:r>
        <w:rPr>
          <w:rFonts w:ascii="Cambria" w:hAnsi="Cambria"/>
          <w:sz w:val="19"/>
          <w:szCs w:val="19"/>
        </w:rPr>
        <w:t>Objednávkové služby OS 1 až OS 3 podľa tabuliek I a K sa poskytujú výlučne na základe písomnej objednávky objednávateľa a fakturujú sa podľa skutočne odpracovaných a objednávateľom odsúhlasených osobohodín.</w:t>
      </w:r>
    </w:p>
    <w:p w14:paraId="0AD0D503" w14:textId="6A7B079E" w:rsidR="00DA32F0" w:rsidRPr="00172B20" w:rsidRDefault="00B6535A">
      <w:pPr>
        <w:pStyle w:val="ListParagraph"/>
        <w:numPr>
          <w:ilvl w:val="0"/>
          <w:numId w:val="2"/>
        </w:numPr>
        <w:spacing w:after="80"/>
        <w:jc w:val="both"/>
        <w:rPr>
          <w:rFonts w:ascii="Cambria" w:hAnsi="Cambria"/>
        </w:rPr>
      </w:pPr>
      <w:r w:rsidRPr="00B6535A">
        <w:rPr>
          <w:rFonts w:ascii="Cambria" w:hAnsi="Cambria"/>
          <w:sz w:val="19"/>
          <w:szCs w:val="19"/>
        </w:rPr>
        <w:t xml:space="preserve">Ceny podľa tabuliek J, K a L sa uplatnia len v prípade uplatnenia opcie: položka J.1 pre zariadenia dodatočne dodané podľa článku XI Zmluvy o dielo, a to za obdobie od ich uvedenia do prevádzky do uplynutia základnej doby poskytovania Servisných služieb; položka J.2 a tabuľky K a L pri predĺžení doby poskytovania Servisných služieb o 36 mesiacov podľa článku VI tejto zmluvy, a to pre všetky </w:t>
      </w:r>
      <w:proofErr w:type="spellStart"/>
      <w:r w:rsidRPr="00B6535A">
        <w:rPr>
          <w:rFonts w:ascii="Cambria" w:hAnsi="Cambria"/>
          <w:sz w:val="19"/>
          <w:szCs w:val="19"/>
        </w:rPr>
        <w:t>servisované</w:t>
      </w:r>
      <w:proofErr w:type="spellEnd"/>
      <w:r w:rsidRPr="00B6535A">
        <w:rPr>
          <w:rFonts w:ascii="Cambria" w:hAnsi="Cambria"/>
          <w:sz w:val="19"/>
          <w:szCs w:val="19"/>
        </w:rPr>
        <w:t xml:space="preserve"> zariadenia vrátane dodatočne dodaných</w:t>
      </w:r>
      <w:r w:rsidR="00E31454">
        <w:rPr>
          <w:rFonts w:ascii="Cambria" w:hAnsi="Cambria"/>
          <w:sz w:val="19"/>
          <w:szCs w:val="19"/>
        </w:rPr>
        <w:t>. Jednotková cena v položke J.1 je zhodná s jednotkovou cenou v tabuľke G. Maximálna cena predstavuje horný finančný limit; objednávateľ nie je povinný ho vyčerpať.</w:t>
      </w:r>
    </w:p>
    <w:p w14:paraId="0AD0D504" w14:textId="6AB90434" w:rsidR="00DA32F0" w:rsidRPr="00172B20" w:rsidRDefault="00E31454">
      <w:pPr>
        <w:pStyle w:val="ListParagraph"/>
        <w:numPr>
          <w:ilvl w:val="0"/>
          <w:numId w:val="2"/>
        </w:numPr>
        <w:spacing w:after="80"/>
        <w:jc w:val="both"/>
        <w:rPr>
          <w:rFonts w:ascii="Cambria" w:hAnsi="Cambria"/>
        </w:rPr>
      </w:pPr>
      <w:r>
        <w:rPr>
          <w:rFonts w:ascii="Cambria" w:hAnsi="Cambria"/>
          <w:sz w:val="19"/>
          <w:szCs w:val="19"/>
        </w:rPr>
        <w:t xml:space="preserve">Jednotkové ceny okrem ceny za 1 A4 stranu sa uvádzajú v eurách bez DPH, zaokrúhlené matematicky na </w:t>
      </w:r>
      <w:r w:rsidR="00A067CC">
        <w:rPr>
          <w:rFonts w:ascii="Cambria" w:hAnsi="Cambria"/>
          <w:sz w:val="19"/>
          <w:szCs w:val="19"/>
        </w:rPr>
        <w:t>štyri</w:t>
      </w:r>
      <w:r>
        <w:rPr>
          <w:rFonts w:ascii="Cambria" w:hAnsi="Cambria"/>
          <w:sz w:val="19"/>
          <w:szCs w:val="19"/>
        </w:rPr>
        <w:t xml:space="preserve"> desatinné miesta</w:t>
      </w:r>
      <w:r w:rsidR="006068FE">
        <w:rPr>
          <w:rFonts w:ascii="Cambria" w:hAnsi="Cambria"/>
          <w:sz w:val="19"/>
          <w:szCs w:val="19"/>
        </w:rPr>
        <w:t xml:space="preserve"> (ceny sa vpisujú z</w:t>
      </w:r>
      <w:r w:rsidR="00B17114">
        <w:rPr>
          <w:rFonts w:ascii="Cambria" w:hAnsi="Cambria"/>
          <w:sz w:val="19"/>
          <w:szCs w:val="19"/>
        </w:rPr>
        <w:t> </w:t>
      </w:r>
      <w:r w:rsidR="006068FE">
        <w:rPr>
          <w:rFonts w:ascii="Cambria" w:hAnsi="Cambria"/>
          <w:sz w:val="19"/>
          <w:szCs w:val="19"/>
        </w:rPr>
        <w:t>ponuky</w:t>
      </w:r>
      <w:r w:rsidR="00B17114">
        <w:rPr>
          <w:rFonts w:ascii="Cambria" w:hAnsi="Cambria"/>
          <w:sz w:val="19"/>
          <w:szCs w:val="19"/>
        </w:rPr>
        <w:t xml:space="preserve"> poskytovateľa)</w:t>
      </w:r>
      <w:r>
        <w:rPr>
          <w:rFonts w:ascii="Cambria" w:hAnsi="Cambria"/>
          <w:sz w:val="19"/>
          <w:szCs w:val="19"/>
        </w:rPr>
        <w:t>. Cena celkom sa vypočíta ako súčin jednotkovej ceny a počtu, resp. predpokladaného množstva. Pri rozpore medzi jednotkovou cenou a cenou celkom je rozhodujúca jednotková cena.</w:t>
      </w:r>
    </w:p>
    <w:p w14:paraId="0AD0D505" w14:textId="77777777" w:rsidR="00DA32F0" w:rsidRPr="00172B20" w:rsidRDefault="00E31454">
      <w:pPr>
        <w:pStyle w:val="ListParagraph"/>
        <w:numPr>
          <w:ilvl w:val="0"/>
          <w:numId w:val="2"/>
        </w:numPr>
        <w:spacing w:after="80"/>
        <w:jc w:val="both"/>
        <w:rPr>
          <w:rFonts w:ascii="Cambria" w:hAnsi="Cambria"/>
        </w:rPr>
      </w:pPr>
      <w:r>
        <w:rPr>
          <w:rFonts w:ascii="Cambria" w:hAnsi="Cambria"/>
          <w:sz w:val="19"/>
          <w:szCs w:val="19"/>
        </w:rPr>
        <w:t>Uchádzač nie je oprávnený meniť štruktúru tabuliek, ich položky, merné jednotky, počty ani predpokladané množstvá, ani dopĺňať ďalšie riadky.</w:t>
      </w:r>
    </w:p>
    <w:p w14:paraId="0AD0D506" w14:textId="77777777" w:rsidR="00DA32F0" w:rsidRPr="00172B20" w:rsidRDefault="00E31454">
      <w:pPr>
        <w:keepNext/>
        <w:spacing w:before="240" w:after="120"/>
        <w:rPr>
          <w:rFonts w:ascii="Cambria" w:hAnsi="Cambria"/>
        </w:rPr>
      </w:pPr>
      <w:r>
        <w:rPr>
          <w:rFonts w:ascii="Cambria" w:hAnsi="Cambria"/>
          <w:b/>
          <w:bCs/>
        </w:rPr>
        <w:lastRenderedPageBreak/>
        <w:t>Tabuľka G – Komplexná SW podpora – paušál počas 60 mesiacov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7"/>
        <w:gridCol w:w="3859"/>
        <w:gridCol w:w="1510"/>
        <w:gridCol w:w="1051"/>
        <w:gridCol w:w="1256"/>
        <w:gridCol w:w="1255"/>
      </w:tblGrid>
      <w:tr w:rsidR="00DA32F0" w:rsidRPr="00172B20" w14:paraId="0AD0D50D" w14:textId="77777777">
        <w:trPr>
          <w:tblHeader/>
        </w:trPr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07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Pol.</w:t>
            </w:r>
          </w:p>
        </w:tc>
        <w:tc>
          <w:tcPr>
            <w:tcW w:w="4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08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Popis služby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09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MJ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0A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Počet zariadenie-mesiacov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0B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Cena v EUR bez DPH za 1 zariadenie a 1 mesiac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0C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Cena celkom v EUR bez DPH</w:t>
            </w:r>
          </w:p>
        </w:tc>
      </w:tr>
      <w:tr w:rsidR="00DA32F0" w:rsidRPr="00172B20" w14:paraId="0AD0D514" w14:textId="77777777">
        <w:trPr>
          <w:cantSplit/>
        </w:trPr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0E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G.1</w:t>
            </w:r>
          </w:p>
        </w:tc>
        <w:tc>
          <w:tcPr>
            <w:tcW w:w="4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0F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Komplexná SW podpora podľa bodu 3 pokynov – cena za 1 zariadenie a 1 mesiac; 122 zariadení × 60 mesiacov (bez HW servisu multifunkčných zariadení, ktorý je zahrnutý v cene za stranu podľa tabuľky H)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10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zariadenie/mesiac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11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7 320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12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13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</w:tr>
      <w:tr w:rsidR="00DA32F0" w:rsidRPr="00172B20" w14:paraId="0AD0D517" w14:textId="77777777">
        <w:trPr>
          <w:cantSplit/>
        </w:trPr>
        <w:tc>
          <w:tcPr>
            <w:tcW w:w="8338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15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Spolu tabuľka G (EUR bez DPH)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16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00B0F0"/>
                <w:sz w:val="17"/>
                <w:szCs w:val="17"/>
              </w:rPr>
              <w:t>&lt;vyplní uchádzač&gt;</w:t>
            </w:r>
          </w:p>
        </w:tc>
      </w:tr>
    </w:tbl>
    <w:p w14:paraId="0AD0D518" w14:textId="77777777" w:rsidR="00DA32F0" w:rsidRPr="00172B20" w:rsidRDefault="00E31454">
      <w:pPr>
        <w:keepNext/>
        <w:spacing w:before="240" w:after="120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Tabuľka H – Tlač – klik </w:t>
      </w:r>
      <w:proofErr w:type="spellStart"/>
      <w:r>
        <w:rPr>
          <w:rFonts w:ascii="Cambria" w:hAnsi="Cambria"/>
          <w:b/>
          <w:bCs/>
        </w:rPr>
        <w:t>all-inclusive</w:t>
      </w:r>
      <w:proofErr w:type="spellEnd"/>
      <w:r>
        <w:rPr>
          <w:rFonts w:ascii="Cambria" w:hAnsi="Cambria"/>
          <w:b/>
          <w:bCs/>
        </w:rPr>
        <w:t xml:space="preserve"> (OEM spotrebný materiál a HW servis) počas 60 mesiacov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3"/>
        <w:gridCol w:w="3996"/>
        <w:gridCol w:w="929"/>
        <w:gridCol w:w="1363"/>
        <w:gridCol w:w="1266"/>
        <w:gridCol w:w="1361"/>
      </w:tblGrid>
      <w:tr w:rsidR="00DA32F0" w:rsidRPr="00172B20" w14:paraId="0AD0D51F" w14:textId="77777777">
        <w:trPr>
          <w:tblHeader/>
        </w:trPr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19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Pol.</w:t>
            </w:r>
          </w:p>
        </w:tc>
        <w:tc>
          <w:tcPr>
            <w:tcW w:w="4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1A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Popis služby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1B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MJ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1C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Predpokladané množstvo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1D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Cena v EUR bez DPH za 1 A4 stranu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1E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Maximálna predpokladaná cena v EUR bez DPH</w:t>
            </w:r>
          </w:p>
        </w:tc>
      </w:tr>
      <w:tr w:rsidR="00DA32F0" w:rsidRPr="00172B20" w14:paraId="0AD0D526" w14:textId="77777777">
        <w:trPr>
          <w:cantSplit/>
        </w:trPr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20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H.1</w:t>
            </w:r>
          </w:p>
        </w:tc>
        <w:tc>
          <w:tcPr>
            <w:tcW w:w="4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21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Čiernobiela tlač na zariadeniach Typ 1 – cena za 1 A4 stranu zahŕňa všetky náklady na prevádzku zariadenia okrem papiera: originálny OEM spotrebný materiál vrátane dodávky tonerov, HW servis zariadení a čítačiek kariet, náhradné diely, prácu technika, výjazdy, dopravu, preventívnu údržbu a výmenu zariadení. Softvérová podpora a licencie sa hradia podľa tabuľky G.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22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1 A4 ČB strana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23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250 000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24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25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</w:tr>
      <w:tr w:rsidR="00DA32F0" w:rsidRPr="00172B20" w14:paraId="0AD0D52D" w14:textId="77777777">
        <w:trPr>
          <w:cantSplit/>
        </w:trPr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27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H.2</w:t>
            </w:r>
          </w:p>
        </w:tc>
        <w:tc>
          <w:tcPr>
            <w:tcW w:w="4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28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Čiernobiela tlač na zariadeniach Typ 2 – cena za 1 A4 stranu zahŕňa všetky náklady na prevádzku zariadenia okrem papiera: originálny OEM spotrebný materiál vrátane dodávky tonerov, HW servis zariadení a čítačiek kariet, náhradné diely, prácu technika, výjazdy, dopravu, preventívnu údržbu a výmenu zariadení. Softvérová podpora a licencie sa hradia podľa tabuľky G.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29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1 A4 ČB strana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2A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65 000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2B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2C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</w:tr>
      <w:tr w:rsidR="00DA32F0" w:rsidRPr="00172B20" w14:paraId="0AD0D534" w14:textId="77777777">
        <w:trPr>
          <w:cantSplit/>
        </w:trPr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2E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H.3</w:t>
            </w:r>
          </w:p>
        </w:tc>
        <w:tc>
          <w:tcPr>
            <w:tcW w:w="4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2F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Farebná tlač na zariadeniach Typ 1 – cena za 1 A4 stranu zahŕňa všetky náklady na prevádzku zariadenia okrem papiera: originálny OEM spotrebný materiál vrátane dodávky tonerov, HW servis zariadení a čítačiek kariet, náhradné diely, prácu technika, výjazdy, dopravu, preventívnu údržbu a výmenu zariadení. Softvérová podpora a licencie sa hradia podľa tabuľky G.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30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1 A4 farebná strana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31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210 000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32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33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</w:tr>
      <w:tr w:rsidR="00DA32F0" w:rsidRPr="00172B20" w14:paraId="0AD0D53B" w14:textId="77777777">
        <w:trPr>
          <w:cantSplit/>
        </w:trPr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35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H.4</w:t>
            </w:r>
          </w:p>
        </w:tc>
        <w:tc>
          <w:tcPr>
            <w:tcW w:w="4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36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Farebná tlač na zariadeniach Typ 2 – cena za 1 A4 stranu zahŕňa všetky náklady na prevádzku zariadenia okrem papiera: originálny OEM spotrebný materiál vrátane dodávky tonerov, HW servis zariadení a čítačiek kariet, náhradné diely, prácu technika, výjazdy, dopravu, preventívnu údržbu a výmenu zariadení. Softvérová podpora a licencie sa hradia podľa tabuľky G.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37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1 A4 farebná strana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38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25 000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39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3A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</w:tr>
      <w:tr w:rsidR="00DA32F0" w:rsidRPr="00172B20" w14:paraId="0AD0D53E" w14:textId="77777777">
        <w:trPr>
          <w:cantSplit/>
        </w:trPr>
        <w:tc>
          <w:tcPr>
            <w:tcW w:w="8338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3C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Spolu tabuľka H – maximálna predpokladaná cena za tlač (EUR bez DPH)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3D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00B0F0"/>
                <w:sz w:val="17"/>
                <w:szCs w:val="17"/>
              </w:rPr>
              <w:t>&lt;vyplní uchádzač&gt;</w:t>
            </w:r>
          </w:p>
        </w:tc>
      </w:tr>
    </w:tbl>
    <w:p w14:paraId="0AD0D53F" w14:textId="77777777" w:rsidR="00DA32F0" w:rsidRPr="00172B20" w:rsidRDefault="00E31454">
      <w:pPr>
        <w:keepNext/>
        <w:spacing w:before="240" w:after="120"/>
        <w:rPr>
          <w:rFonts w:ascii="Cambria" w:hAnsi="Cambria"/>
        </w:rPr>
      </w:pPr>
      <w:r>
        <w:rPr>
          <w:rFonts w:ascii="Cambria" w:hAnsi="Cambria"/>
          <w:b/>
          <w:bCs/>
        </w:rPr>
        <w:lastRenderedPageBreak/>
        <w:t>Tabuľka I – Objednávkové služby počas 60 mesiacov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5"/>
        <w:gridCol w:w="3825"/>
        <w:gridCol w:w="1101"/>
        <w:gridCol w:w="1363"/>
        <w:gridCol w:w="1283"/>
        <w:gridCol w:w="1361"/>
      </w:tblGrid>
      <w:tr w:rsidR="00DA32F0" w:rsidRPr="00172B20" w14:paraId="0AD0D546" w14:textId="77777777">
        <w:trPr>
          <w:tblHeader/>
        </w:trPr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40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Pol.</w:t>
            </w:r>
          </w:p>
        </w:tc>
        <w:tc>
          <w:tcPr>
            <w:tcW w:w="4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41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Popis služby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42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MJ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43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Predpokladaný maximálny počet MJ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44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Cena v EUR bez DPH za 1 osobohodinu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45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Maximálna predpokladaná cena v EUR bez DPH</w:t>
            </w:r>
          </w:p>
        </w:tc>
      </w:tr>
      <w:tr w:rsidR="00DA32F0" w:rsidRPr="00172B20" w14:paraId="0AD0D54D" w14:textId="77777777">
        <w:trPr>
          <w:cantSplit/>
        </w:trPr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47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I.1</w:t>
            </w:r>
          </w:p>
        </w:tc>
        <w:tc>
          <w:tcPr>
            <w:tcW w:w="4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48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 xml:space="preserve">Objednávkové služby nad rámec pravidelných Servisných služieb: konzultačné služby (OS 1), rozvojové a konfiguračné práce, ktoré nepredstavujú zhotovenie, dodanie alebo implementáciu Diela, vrátane premiestnenia zariadení nad rámec rozsahu podľa bodu 6.4 Prílohy č. 2 (OS 2), školenia používateľov a správcov (OS 3); plnenie nad rámec štandardnej </w:t>
            </w:r>
            <w:proofErr w:type="spellStart"/>
            <w:r>
              <w:rPr>
                <w:rFonts w:ascii="Cambria" w:hAnsi="Cambria"/>
                <w:sz w:val="17"/>
                <w:szCs w:val="17"/>
              </w:rPr>
              <w:t>exit</w:t>
            </w:r>
            <w:proofErr w:type="spellEnd"/>
            <w:r>
              <w:rPr>
                <w:rFonts w:ascii="Cambria" w:hAnsi="Cambria"/>
                <w:sz w:val="17"/>
                <w:szCs w:val="17"/>
              </w:rPr>
              <w:t xml:space="preserve"> súčinnosti podľa článku X Servisnej zmluvy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49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osobohodina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4A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300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4B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&lt;vyplní uchádzač&gt;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4C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</w:tr>
      <w:tr w:rsidR="00DA32F0" w:rsidRPr="00172B20" w14:paraId="0AD0D550" w14:textId="77777777">
        <w:trPr>
          <w:cantSplit/>
        </w:trPr>
        <w:tc>
          <w:tcPr>
            <w:tcW w:w="8338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4E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Spolu tabuľka I (EUR bez DPH)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4F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b/>
                <w:bCs/>
                <w:color w:val="00B0F0"/>
                <w:sz w:val="17"/>
                <w:szCs w:val="17"/>
              </w:rPr>
              <w:t>&lt;vyplní uchádzač&gt;</w:t>
            </w:r>
          </w:p>
        </w:tc>
      </w:tr>
    </w:tbl>
    <w:p w14:paraId="0AD0D551" w14:textId="77777777" w:rsidR="00DA32F0" w:rsidRPr="00172B20" w:rsidRDefault="00E31454">
      <w:pPr>
        <w:keepNext/>
        <w:spacing w:before="240" w:after="120"/>
        <w:rPr>
          <w:rFonts w:ascii="Cambria" w:hAnsi="Cambria"/>
        </w:rPr>
      </w:pPr>
      <w:r>
        <w:rPr>
          <w:rFonts w:ascii="Cambria" w:hAnsi="Cambria"/>
          <w:b/>
          <w:bCs/>
        </w:rPr>
        <w:t>Celková cena za služby bez opcie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"/>
        <w:gridCol w:w="6338"/>
        <w:gridCol w:w="2300"/>
      </w:tblGrid>
      <w:tr w:rsidR="00DA32F0" w:rsidRPr="00172B20" w14:paraId="0AD0D555" w14:textId="77777777">
        <w:trPr>
          <w:tblHeader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52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Tabuľka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53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Predmet plnenia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54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Cena v EUR bez DPH</w:t>
            </w:r>
          </w:p>
        </w:tc>
      </w:tr>
      <w:tr w:rsidR="00DA32F0" w:rsidRPr="00172B20" w14:paraId="0AD0D559" w14:textId="77777777"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56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G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57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Komplexná SW podpora – paušál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58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</w:tr>
      <w:tr w:rsidR="00DA32F0" w:rsidRPr="00172B20" w14:paraId="0AD0D55D" w14:textId="77777777"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5A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H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5B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 xml:space="preserve">Tlač – klik </w:t>
            </w:r>
            <w:proofErr w:type="spellStart"/>
            <w:r>
              <w:rPr>
                <w:rFonts w:ascii="Cambria" w:hAnsi="Cambria"/>
                <w:sz w:val="17"/>
                <w:szCs w:val="17"/>
              </w:rPr>
              <w:t>all-inclusive</w:t>
            </w:r>
            <w:proofErr w:type="spellEnd"/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5C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</w:tr>
      <w:tr w:rsidR="00DA32F0" w:rsidRPr="00172B20" w14:paraId="0AD0D561" w14:textId="77777777"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5E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I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5F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Objednávkové služby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60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</w:tr>
      <w:tr w:rsidR="00DA32F0" w:rsidRPr="00172B20" w14:paraId="0AD0D564" w14:textId="77777777">
        <w:tc>
          <w:tcPr>
            <w:tcW w:w="73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62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Celková maximálna cena za služby bez opcie v EUR bez DPH = G + H + I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63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b/>
                <w:bCs/>
                <w:color w:val="00B0F0"/>
                <w:sz w:val="17"/>
                <w:szCs w:val="17"/>
              </w:rPr>
              <w:t>&lt;vyplní uchádzač&gt;</w:t>
            </w:r>
          </w:p>
        </w:tc>
      </w:tr>
    </w:tbl>
    <w:p w14:paraId="0AD0D565" w14:textId="79CD32AE" w:rsidR="00DA32F0" w:rsidRPr="00172B20" w:rsidRDefault="00E31454">
      <w:pPr>
        <w:keepNext/>
        <w:spacing w:before="240" w:after="120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Tabuľka J – Opcia: Komplexná SW podpora – dodatočné zariadenia a predĺženie služieb 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3849"/>
        <w:gridCol w:w="1510"/>
        <w:gridCol w:w="1051"/>
        <w:gridCol w:w="1257"/>
        <w:gridCol w:w="1262"/>
      </w:tblGrid>
      <w:tr w:rsidR="00DA32F0" w:rsidRPr="00172B20" w14:paraId="0AD0D56C" w14:textId="77777777" w:rsidTr="0039331F">
        <w:trPr>
          <w:tblHeader/>
        </w:trPr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66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Pol.</w:t>
            </w:r>
          </w:p>
        </w:tc>
        <w:tc>
          <w:tcPr>
            <w:tcW w:w="38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67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Popis služby</w:t>
            </w:r>
          </w:p>
        </w:tc>
        <w:tc>
          <w:tcPr>
            <w:tcW w:w="1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68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MJ</w:t>
            </w:r>
          </w:p>
        </w:tc>
        <w:tc>
          <w:tcPr>
            <w:tcW w:w="1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69" w14:textId="3A99E0EA" w:rsidR="00DA32F0" w:rsidRPr="00172B20" w:rsidRDefault="006970F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Maximálny počet  zariadenie-mesiacov</w:t>
            </w:r>
          </w:p>
        </w:tc>
        <w:tc>
          <w:tcPr>
            <w:tcW w:w="12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6A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Cena v EUR bez DPH za 1 zariadenie a 1 mesiac</w:t>
            </w:r>
          </w:p>
        </w:tc>
        <w:tc>
          <w:tcPr>
            <w:tcW w:w="1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6B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Maximálna cena v EUR bez DPH</w:t>
            </w:r>
          </w:p>
        </w:tc>
      </w:tr>
      <w:tr w:rsidR="00DA32F0" w:rsidRPr="00172B20" w14:paraId="0AD0D57A" w14:textId="77777777" w:rsidTr="0039331F">
        <w:trPr>
          <w:cantSplit/>
        </w:trPr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74" w14:textId="543A443C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J.</w:t>
            </w:r>
            <w:r w:rsidR="00B011BA">
              <w:rPr>
                <w:rFonts w:ascii="Cambria" w:hAnsi="Cambria"/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38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75" w14:textId="5A3D932F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 xml:space="preserve">Predĺženie Servisných služieb o 36 mesiacov: SW podpora v rozsahu tabuľky G vrátane obnovy, resp. predĺženia platnosti všetkých licencií, predplatného a </w:t>
            </w:r>
            <w:r w:rsidR="000670FD">
              <w:rPr>
                <w:rFonts w:ascii="Cambria" w:hAnsi="Cambria"/>
                <w:sz w:val="17"/>
                <w:szCs w:val="17"/>
              </w:rPr>
              <w:t>oprávnení</w:t>
            </w:r>
            <w:r>
              <w:rPr>
                <w:rFonts w:ascii="Cambria" w:hAnsi="Cambria"/>
                <w:sz w:val="17"/>
                <w:szCs w:val="17"/>
              </w:rPr>
              <w:t xml:space="preserve"> </w:t>
            </w:r>
            <w:r w:rsidR="001A4031" w:rsidRPr="001A4031">
              <w:rPr>
                <w:rFonts w:ascii="Cambria" w:hAnsi="Cambria"/>
                <w:sz w:val="17"/>
                <w:szCs w:val="17"/>
              </w:rPr>
              <w:t xml:space="preserve">podľa tabuliek B a D“. </w:t>
            </w:r>
            <w:r w:rsidR="00783B39">
              <w:rPr>
                <w:rFonts w:ascii="Cambria" w:hAnsi="Cambria"/>
                <w:sz w:val="17"/>
                <w:szCs w:val="17"/>
              </w:rPr>
              <w:t>L</w:t>
            </w:r>
            <w:r w:rsidR="001A4031" w:rsidRPr="001A4031">
              <w:rPr>
                <w:rFonts w:ascii="Cambria" w:hAnsi="Cambria"/>
                <w:sz w:val="17"/>
                <w:szCs w:val="17"/>
              </w:rPr>
              <w:t>icencie pre opčné zariadenia sú v tabuľke D</w:t>
            </w:r>
            <w:r>
              <w:rPr>
                <w:rFonts w:ascii="Cambria" w:hAnsi="Cambria"/>
                <w:sz w:val="17"/>
                <w:szCs w:val="17"/>
              </w:rPr>
              <w:t xml:space="preserve"> (vrátane licencií viazaných na používateľa) na obdobie predĺženia; (122 + 15) zariadení × 36 mesiacov</w:t>
            </w:r>
          </w:p>
        </w:tc>
        <w:tc>
          <w:tcPr>
            <w:tcW w:w="1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76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zariadenie/mesiac</w:t>
            </w:r>
          </w:p>
        </w:tc>
        <w:tc>
          <w:tcPr>
            <w:tcW w:w="1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77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4 932</w:t>
            </w:r>
          </w:p>
        </w:tc>
        <w:tc>
          <w:tcPr>
            <w:tcW w:w="12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78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  <w:tc>
          <w:tcPr>
            <w:tcW w:w="1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79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</w:tr>
      <w:tr w:rsidR="00E5570C" w:rsidRPr="00172B20" w14:paraId="401C0EAD" w14:textId="77777777" w:rsidTr="0039331F">
        <w:trPr>
          <w:cantSplit/>
        </w:trPr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ED4DB1" w14:textId="3900D1F9" w:rsidR="00E5570C" w:rsidRDefault="00E5570C" w:rsidP="00E5570C">
            <w:pPr>
              <w:jc w:val="center"/>
              <w:rPr>
                <w:rFonts w:ascii="Cambria" w:hAnsi="Cambria"/>
                <w:b/>
                <w:bCs/>
                <w:sz w:val="17"/>
                <w:szCs w:val="17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J2</w:t>
            </w:r>
          </w:p>
        </w:tc>
        <w:tc>
          <w:tcPr>
            <w:tcW w:w="38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CA4CD9" w14:textId="3A264177" w:rsidR="00E5570C" w:rsidRDefault="00E5570C" w:rsidP="00E5570C">
            <w:pPr>
              <w:rPr>
                <w:rFonts w:ascii="Cambria" w:hAnsi="Cambria"/>
                <w:sz w:val="17"/>
                <w:szCs w:val="17"/>
              </w:rPr>
            </w:pPr>
            <w:r w:rsidRPr="00E5570C">
              <w:rPr>
                <w:rFonts w:ascii="Cambria" w:hAnsi="Cambria"/>
                <w:sz w:val="17"/>
                <w:szCs w:val="17"/>
              </w:rPr>
              <w:t>Komplexná SW podpora pre najviac 15 dodatočných zariadení podľa tabuľky D</w:t>
            </w:r>
            <w:r w:rsidR="00414DE0">
              <w:rPr>
                <w:rFonts w:ascii="Cambria" w:hAnsi="Cambria"/>
                <w:sz w:val="17"/>
                <w:szCs w:val="17"/>
              </w:rPr>
              <w:t xml:space="preserve"> zmluvy o dielo</w:t>
            </w:r>
            <w:r w:rsidRPr="00E5570C">
              <w:rPr>
                <w:rFonts w:ascii="Cambria" w:hAnsi="Cambria"/>
                <w:sz w:val="17"/>
                <w:szCs w:val="17"/>
              </w:rPr>
              <w:t xml:space="preserve">, od ich uvedenia do prevádzky do skončenia základnej doby Servisnej zmluvy (60 mesiacov); uplatní sa jednotková cena podľa </w:t>
            </w:r>
            <w:r w:rsidR="00D47118">
              <w:rPr>
                <w:rFonts w:ascii="Cambria" w:hAnsi="Cambria"/>
                <w:sz w:val="17"/>
                <w:szCs w:val="17"/>
              </w:rPr>
              <w:t>G</w:t>
            </w:r>
            <w:r w:rsidRPr="00E5570C">
              <w:rPr>
                <w:rFonts w:ascii="Cambria" w:hAnsi="Cambria"/>
                <w:sz w:val="17"/>
                <w:szCs w:val="17"/>
              </w:rPr>
              <w:t xml:space="preserve">.1 </w:t>
            </w:r>
          </w:p>
        </w:tc>
        <w:tc>
          <w:tcPr>
            <w:tcW w:w="1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F320F6" w14:textId="521747E9" w:rsidR="00E5570C" w:rsidRDefault="00E5570C" w:rsidP="00E5570C">
            <w:pPr>
              <w:jc w:val="center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>zariadenie/mesiac</w:t>
            </w:r>
          </w:p>
        </w:tc>
        <w:tc>
          <w:tcPr>
            <w:tcW w:w="10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444812" w14:textId="630A64CE" w:rsidR="00E5570C" w:rsidRDefault="00E5570C" w:rsidP="00E5570C">
            <w:pPr>
              <w:jc w:val="center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>900</w:t>
            </w:r>
          </w:p>
        </w:tc>
        <w:tc>
          <w:tcPr>
            <w:tcW w:w="12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8DB80E" w14:textId="087E6A2C" w:rsidR="00E5570C" w:rsidRDefault="00E5570C" w:rsidP="00E5570C">
            <w:pPr>
              <w:jc w:val="center"/>
              <w:rPr>
                <w:rFonts w:ascii="Cambria" w:hAnsi="Cambria"/>
                <w:color w:val="00B0F0"/>
                <w:sz w:val="17"/>
                <w:szCs w:val="17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  <w:tc>
          <w:tcPr>
            <w:tcW w:w="1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DA9893" w14:textId="74BBC8F6" w:rsidR="00E5570C" w:rsidRDefault="00E5570C" w:rsidP="00E5570C">
            <w:pPr>
              <w:jc w:val="center"/>
              <w:rPr>
                <w:rFonts w:ascii="Cambria" w:hAnsi="Cambria"/>
                <w:color w:val="00B0F0"/>
                <w:sz w:val="17"/>
                <w:szCs w:val="17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</w:tr>
      <w:tr w:rsidR="00E5570C" w:rsidRPr="00172B20" w14:paraId="0AD0D57D" w14:textId="77777777" w:rsidTr="0039331F">
        <w:trPr>
          <w:cantSplit/>
        </w:trPr>
        <w:tc>
          <w:tcPr>
            <w:tcW w:w="8376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7B" w14:textId="77777777" w:rsidR="00E5570C" w:rsidRPr="00172B20" w:rsidRDefault="00E5570C" w:rsidP="00E5570C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Maximálna cena opcie – SW podpora (EUR bez DPH)</w:t>
            </w:r>
          </w:p>
        </w:tc>
        <w:tc>
          <w:tcPr>
            <w:tcW w:w="12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7C" w14:textId="77777777" w:rsidR="00E5570C" w:rsidRPr="00172B20" w:rsidRDefault="00E5570C" w:rsidP="00E5570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00B0F0"/>
                <w:sz w:val="17"/>
                <w:szCs w:val="17"/>
              </w:rPr>
              <w:t>&lt;vyplní uchádzač&gt;</w:t>
            </w:r>
          </w:p>
        </w:tc>
      </w:tr>
    </w:tbl>
    <w:p w14:paraId="640EA83C" w14:textId="77777777" w:rsidR="00274CAD" w:rsidRDefault="00274CAD" w:rsidP="00274CAD">
      <w:pPr>
        <w:spacing w:after="80"/>
        <w:jc w:val="both"/>
        <w:rPr>
          <w:rFonts w:ascii="Cambria" w:hAnsi="Cambria"/>
          <w:sz w:val="19"/>
          <w:szCs w:val="19"/>
        </w:rPr>
      </w:pPr>
    </w:p>
    <w:p w14:paraId="1DEE06DD" w14:textId="06BEE2C7" w:rsidR="0039331F" w:rsidRPr="00274CAD" w:rsidRDefault="0039331F" w:rsidP="00274CAD">
      <w:pPr>
        <w:spacing w:after="80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t>Počty zariadenie-mesiacov uvedené v tabuľke J predstavujú maximálny kalkulačný rozsah opcie na účely určenia maximálnej ceny a vyhodnotenia ponuky. Objednávateľ uhradí cenu len za skutočný počet zariadení a skutočné obdobie poskytovania SW podpory; uvedením maximálneho rozsahu nevzniká Objednávateľovi povinnosť opciu uplatniť ani vyčerpať v celom rozsahu.</w:t>
      </w:r>
    </w:p>
    <w:p w14:paraId="0AD0D57E" w14:textId="5DB5AE56" w:rsidR="00DA32F0" w:rsidRPr="00172B20" w:rsidRDefault="00E31454">
      <w:pPr>
        <w:keepNext/>
        <w:spacing w:before="240" w:after="120"/>
        <w:rPr>
          <w:rFonts w:ascii="Cambria" w:hAnsi="Cambria"/>
        </w:rPr>
      </w:pPr>
      <w:r>
        <w:rPr>
          <w:rFonts w:ascii="Cambria" w:hAnsi="Cambria"/>
          <w:b/>
          <w:bCs/>
        </w:rPr>
        <w:lastRenderedPageBreak/>
        <w:t>Tabuľka K – Opcia: Objednávkové služby počas 36 mesiacov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5"/>
        <w:gridCol w:w="3825"/>
        <w:gridCol w:w="1101"/>
        <w:gridCol w:w="1363"/>
        <w:gridCol w:w="1283"/>
        <w:gridCol w:w="1361"/>
      </w:tblGrid>
      <w:tr w:rsidR="00DA32F0" w:rsidRPr="00172B20" w14:paraId="0AD0D585" w14:textId="77777777">
        <w:trPr>
          <w:tblHeader/>
        </w:trPr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7F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Pol.</w:t>
            </w:r>
          </w:p>
        </w:tc>
        <w:tc>
          <w:tcPr>
            <w:tcW w:w="4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80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Popis služby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81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MJ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82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Predpokladaný maximálny počet MJ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83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Cena v EUR bez DPH za 1 osobohodinu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84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Maximálna predpokladaná cena v EUR bez DPH</w:t>
            </w:r>
          </w:p>
        </w:tc>
      </w:tr>
      <w:tr w:rsidR="00DA32F0" w:rsidRPr="00172B20" w14:paraId="0AD0D58C" w14:textId="77777777">
        <w:trPr>
          <w:cantSplit/>
        </w:trPr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86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K.1</w:t>
            </w:r>
          </w:p>
        </w:tc>
        <w:tc>
          <w:tcPr>
            <w:tcW w:w="4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87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 xml:space="preserve">Objednávkové služby nad rámec pravidelných Servisných služieb: konzultačné služby (OS 1), rozvojové a konfiguračné práce, ktoré nepredstavujú zhotovenie, dodanie alebo implementáciu Diela, vrátane premiestnenia zariadení nad rámec rozsahu podľa bodu 6.4 Prílohy č. 2 (OS 2), školenia používateľov a správcov (OS 3); plnenie nad rámec štandardnej </w:t>
            </w:r>
            <w:proofErr w:type="spellStart"/>
            <w:r>
              <w:rPr>
                <w:rFonts w:ascii="Cambria" w:hAnsi="Cambria"/>
                <w:sz w:val="17"/>
                <w:szCs w:val="17"/>
              </w:rPr>
              <w:t>exit</w:t>
            </w:r>
            <w:proofErr w:type="spellEnd"/>
            <w:r>
              <w:rPr>
                <w:rFonts w:ascii="Cambria" w:hAnsi="Cambria"/>
                <w:sz w:val="17"/>
                <w:szCs w:val="17"/>
              </w:rPr>
              <w:t xml:space="preserve"> súčinnosti podľa článku X Servisnej zmluvy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88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osobohodina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89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180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8A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8B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</w:tr>
      <w:tr w:rsidR="00DA32F0" w:rsidRPr="00172B20" w14:paraId="0AD0D58F" w14:textId="77777777">
        <w:trPr>
          <w:cantSplit/>
        </w:trPr>
        <w:tc>
          <w:tcPr>
            <w:tcW w:w="8338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8D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Spolu tabuľka K (EUR bez DPH)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8E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00B0F0"/>
                <w:sz w:val="17"/>
                <w:szCs w:val="17"/>
              </w:rPr>
              <w:t>&lt;vyplní uchádzač&gt;</w:t>
            </w:r>
          </w:p>
        </w:tc>
      </w:tr>
    </w:tbl>
    <w:p w14:paraId="0AD0D590" w14:textId="77777777" w:rsidR="00DA32F0" w:rsidRPr="00172B20" w:rsidRDefault="00E31454">
      <w:pPr>
        <w:keepNext/>
        <w:spacing w:before="240" w:after="120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Tabuľka L – Opcia: Tlač – klik </w:t>
      </w:r>
      <w:proofErr w:type="spellStart"/>
      <w:r>
        <w:rPr>
          <w:rFonts w:ascii="Cambria" w:hAnsi="Cambria"/>
          <w:b/>
          <w:bCs/>
        </w:rPr>
        <w:t>all-inclusive</w:t>
      </w:r>
      <w:proofErr w:type="spellEnd"/>
      <w:r>
        <w:rPr>
          <w:rFonts w:ascii="Cambria" w:hAnsi="Cambria"/>
          <w:b/>
          <w:bCs/>
        </w:rPr>
        <w:t xml:space="preserve"> (OEM spotrebný materiál a HW servis) počas 36 mesiacov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3"/>
        <w:gridCol w:w="3996"/>
        <w:gridCol w:w="929"/>
        <w:gridCol w:w="1363"/>
        <w:gridCol w:w="1266"/>
        <w:gridCol w:w="1361"/>
      </w:tblGrid>
      <w:tr w:rsidR="00DA32F0" w:rsidRPr="00172B20" w14:paraId="0AD0D597" w14:textId="77777777">
        <w:trPr>
          <w:tblHeader/>
        </w:trPr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91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Pol.</w:t>
            </w:r>
          </w:p>
        </w:tc>
        <w:tc>
          <w:tcPr>
            <w:tcW w:w="4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92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Popis služby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93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MJ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94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Predpokladané množstvo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95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Cena v EUR bez DPH za 1 A4 stranu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96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Maximálna predpokladaná cena v EUR bez DPH</w:t>
            </w:r>
          </w:p>
        </w:tc>
      </w:tr>
      <w:tr w:rsidR="00DA32F0" w:rsidRPr="00172B20" w14:paraId="0AD0D59E" w14:textId="77777777">
        <w:trPr>
          <w:cantSplit/>
        </w:trPr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98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L.1</w:t>
            </w:r>
          </w:p>
        </w:tc>
        <w:tc>
          <w:tcPr>
            <w:tcW w:w="4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99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Čiernobiela tlač na zariadeniach Typ 1 – cena za 1 A4 stranu zahŕňa všetky náklady na prevádzku zariadenia okrem papiera: originálny OEM spotrebný materiál vrátane dodávky tonerov, HW servis zariadení a čítačiek kariet, náhradné diely, prácu technika, výjazdy, dopravu, preventívnu údržbu a výmenu zariadení. Softvérová podpora a licencie sa hradia podľa tabuľky J.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9A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1 A4 ČB strana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9B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150 000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9C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9D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</w:tr>
      <w:tr w:rsidR="00DA32F0" w:rsidRPr="00172B20" w14:paraId="0AD0D5A5" w14:textId="77777777">
        <w:trPr>
          <w:cantSplit/>
        </w:trPr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9F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L.2</w:t>
            </w:r>
          </w:p>
        </w:tc>
        <w:tc>
          <w:tcPr>
            <w:tcW w:w="4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A0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Čiernobiela tlač na zariadeniach Typ 2 – cena za 1 A4 stranu zahŕňa všetky náklady na prevádzku zariadenia okrem papiera: originálny OEM spotrebný materiál vrátane dodávky tonerov, HW servis zariadení a čítačiek kariet, náhradné diely, prácu technika, výjazdy, dopravu, preventívnu údržbu a výmenu zariadení. Softvérová podpora a licencie sa hradia podľa tabuľky J.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A1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1 A4 ČB strana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A2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39 000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A3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A4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</w:tr>
      <w:tr w:rsidR="00DA32F0" w:rsidRPr="00172B20" w14:paraId="0AD0D5AC" w14:textId="77777777">
        <w:trPr>
          <w:cantSplit/>
        </w:trPr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A6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L.3</w:t>
            </w:r>
          </w:p>
        </w:tc>
        <w:tc>
          <w:tcPr>
            <w:tcW w:w="4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A7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Farebná tlač na zariadeniach Typ 1 – cena za 1 A4 stranu zahŕňa všetky náklady na prevádzku zariadenia okrem papiera: originálny OEM spotrebný materiál vrátane dodávky tonerov, HW servis zariadení a čítačiek kariet, náhradné diely, prácu technika, výjazdy, dopravu, preventívnu údržbu a výmenu zariadení. Softvérová podpora a licencie sa hradia podľa tabuľky J.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A8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1 A4 farebná strana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A9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126 000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AA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AB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</w:tr>
      <w:tr w:rsidR="00DA32F0" w:rsidRPr="00172B20" w14:paraId="0AD0D5B3" w14:textId="77777777">
        <w:trPr>
          <w:cantSplit/>
        </w:trPr>
        <w:tc>
          <w:tcPr>
            <w:tcW w:w="7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AD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L.4</w:t>
            </w:r>
          </w:p>
        </w:tc>
        <w:tc>
          <w:tcPr>
            <w:tcW w:w="4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AE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Farebná tlač na zariadeniach Typ 2 – cena za 1 A4 stranu zahŕňa všetky náklady na prevádzku zariadenia okrem papiera: originálny OEM spotrebný materiál vrátane dodávky tonerov, HW servis zariadení a čítačiek kariet, náhradné diely, prácu technika, výjazdy, dopravu, preventívnu údržbu a výmenu zariadení. Softvérová podpora a licencie sa hradia podľa tabuľky J.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AF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1 A4 farebná strana</w:t>
            </w:r>
          </w:p>
        </w:tc>
        <w:tc>
          <w:tcPr>
            <w:tcW w:w="10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B0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15 000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9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B1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B2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</w:tr>
      <w:tr w:rsidR="00DA32F0" w:rsidRPr="00172B20" w14:paraId="0AD0D5B6" w14:textId="77777777">
        <w:trPr>
          <w:cantSplit/>
        </w:trPr>
        <w:tc>
          <w:tcPr>
            <w:tcW w:w="8338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B4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Spolu tabuľka L – maximálna predpokladaná cena za tlač (EUR bez DPH)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B5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color w:val="00B0F0"/>
                <w:sz w:val="17"/>
                <w:szCs w:val="17"/>
              </w:rPr>
              <w:t>&lt;vyplní uchádzač&gt;</w:t>
            </w:r>
          </w:p>
        </w:tc>
      </w:tr>
    </w:tbl>
    <w:p w14:paraId="0AD0D5B7" w14:textId="77777777" w:rsidR="00DA32F0" w:rsidRPr="00172B20" w:rsidRDefault="00E31454">
      <w:pPr>
        <w:keepNext/>
        <w:spacing w:before="240" w:after="120"/>
        <w:rPr>
          <w:rFonts w:ascii="Cambria" w:hAnsi="Cambria"/>
        </w:rPr>
      </w:pPr>
      <w:r>
        <w:rPr>
          <w:rFonts w:ascii="Cambria" w:hAnsi="Cambria"/>
          <w:b/>
          <w:bCs/>
        </w:rPr>
        <w:t>Celková maximálna cena za predmet zmluvy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"/>
        <w:gridCol w:w="6338"/>
        <w:gridCol w:w="2300"/>
      </w:tblGrid>
      <w:tr w:rsidR="00DA32F0" w:rsidRPr="00172B20" w14:paraId="0AD0D5BB" w14:textId="77777777">
        <w:trPr>
          <w:tblHeader/>
        </w:trPr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B8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Tabuľka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B9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Predmet plnenia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BA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Cena v EUR bez DPH</w:t>
            </w:r>
          </w:p>
        </w:tc>
      </w:tr>
      <w:tr w:rsidR="00DA32F0" w:rsidRPr="00172B20" w14:paraId="0AD0D5BF" w14:textId="77777777"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BC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J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BD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Opcia – SW podpora (dodatočné zariadenia a predĺženie)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BE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</w:tr>
      <w:tr w:rsidR="00DA32F0" w:rsidRPr="00172B20" w14:paraId="0AD0D5C3" w14:textId="77777777"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C0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K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C1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>Opcia – Objednávkové služby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C2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</w:tr>
      <w:tr w:rsidR="00DA32F0" w:rsidRPr="00172B20" w14:paraId="0AD0D5C7" w14:textId="77777777"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C4" w14:textId="77777777" w:rsidR="00DA32F0" w:rsidRPr="00172B20" w:rsidRDefault="00E3145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L</w:t>
            </w:r>
          </w:p>
        </w:tc>
        <w:tc>
          <w:tcPr>
            <w:tcW w:w="6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C5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sz w:val="17"/>
                <w:szCs w:val="17"/>
              </w:rPr>
              <w:t xml:space="preserve">Opcia – Tlač – klik </w:t>
            </w:r>
            <w:proofErr w:type="spellStart"/>
            <w:r>
              <w:rPr>
                <w:rFonts w:ascii="Cambria" w:hAnsi="Cambria"/>
                <w:sz w:val="17"/>
                <w:szCs w:val="17"/>
              </w:rPr>
              <w:t>all-inclusive</w:t>
            </w:r>
            <w:proofErr w:type="spellEnd"/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C6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color w:val="00B0F0"/>
                <w:sz w:val="17"/>
                <w:szCs w:val="17"/>
              </w:rPr>
              <w:t>&lt;vyplní uchádzač&gt;</w:t>
            </w:r>
          </w:p>
        </w:tc>
      </w:tr>
      <w:tr w:rsidR="00DA32F0" w:rsidRPr="00172B20" w14:paraId="0AD0D5CA" w14:textId="77777777">
        <w:tc>
          <w:tcPr>
            <w:tcW w:w="73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C8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lastRenderedPageBreak/>
              <w:t>Maximálna cena opcie v EUR bez DPH = J + K + L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C9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b/>
                <w:bCs/>
                <w:color w:val="00B0F0"/>
                <w:sz w:val="17"/>
                <w:szCs w:val="17"/>
              </w:rPr>
              <w:t>&lt;vyplní uchádzač&gt;</w:t>
            </w:r>
          </w:p>
        </w:tc>
      </w:tr>
      <w:tr w:rsidR="00DA32F0" w:rsidRPr="00172B20" w14:paraId="0AD0D5CD" w14:textId="77777777">
        <w:tc>
          <w:tcPr>
            <w:tcW w:w="73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CB" w14:textId="77777777" w:rsidR="00DA32F0" w:rsidRPr="00172B20" w:rsidRDefault="00E31454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  <w:sz w:val="17"/>
                <w:szCs w:val="17"/>
              </w:rPr>
              <w:t>Celková maximálna cena za predmet zmluvy vrátane opcie v EUR bez DPH = G + H + I + J + K + L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D0D5CC" w14:textId="77777777" w:rsidR="00DA32F0" w:rsidRPr="00172B20" w:rsidRDefault="00E31454">
            <w:pPr>
              <w:jc w:val="center"/>
              <w:rPr>
                <w:rFonts w:ascii="Cambria" w:hAnsi="Cambria"/>
                <w:color w:val="00B0F0"/>
              </w:rPr>
            </w:pPr>
            <w:r>
              <w:rPr>
                <w:rFonts w:ascii="Cambria" w:hAnsi="Cambria"/>
                <w:b/>
                <w:bCs/>
                <w:color w:val="00B0F0"/>
                <w:sz w:val="17"/>
                <w:szCs w:val="17"/>
              </w:rPr>
              <w:t>&lt;vyplní uchádzač&gt;</w:t>
            </w:r>
          </w:p>
        </w:tc>
      </w:tr>
    </w:tbl>
    <w:p w14:paraId="0AD0D5CE" w14:textId="77777777" w:rsidR="00E31454" w:rsidRPr="00172B20" w:rsidRDefault="00E31454">
      <w:pPr>
        <w:rPr>
          <w:rFonts w:ascii="Cambria" w:hAnsi="Cambria"/>
        </w:rPr>
      </w:pPr>
    </w:p>
    <w:sectPr w:rsidR="00E31454" w:rsidRPr="00172B2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7C22F" w14:textId="77777777" w:rsidR="00B90997" w:rsidRDefault="00B90997">
      <w:r>
        <w:separator/>
      </w:r>
    </w:p>
  </w:endnote>
  <w:endnote w:type="continuationSeparator" w:id="0">
    <w:p w14:paraId="7114B3BA" w14:textId="77777777" w:rsidR="00B90997" w:rsidRDefault="00B90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71643" w14:textId="77777777" w:rsidR="00B90997" w:rsidRDefault="00B90997">
      <w:r>
        <w:separator/>
      </w:r>
    </w:p>
  </w:footnote>
  <w:footnote w:type="continuationSeparator" w:id="0">
    <w:p w14:paraId="1A5531C0" w14:textId="77777777" w:rsidR="00B90997" w:rsidRDefault="00B909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63F8C"/>
    <w:multiLevelType w:val="hybridMultilevel"/>
    <w:tmpl w:val="4B3E184E"/>
    <w:lvl w:ilvl="0" w:tplc="CE6C9272">
      <w:start w:val="1"/>
      <w:numFmt w:val="bullet"/>
      <w:lvlText w:val="●"/>
      <w:lvlJc w:val="left"/>
      <w:pPr>
        <w:ind w:left="720" w:hanging="360"/>
      </w:pPr>
    </w:lvl>
    <w:lvl w:ilvl="1" w:tplc="A92200DC">
      <w:start w:val="1"/>
      <w:numFmt w:val="bullet"/>
      <w:lvlText w:val="○"/>
      <w:lvlJc w:val="left"/>
      <w:pPr>
        <w:ind w:left="1440" w:hanging="360"/>
      </w:pPr>
    </w:lvl>
    <w:lvl w:ilvl="2" w:tplc="6AE8C5C4">
      <w:start w:val="1"/>
      <w:numFmt w:val="bullet"/>
      <w:lvlText w:val="■"/>
      <w:lvlJc w:val="left"/>
      <w:pPr>
        <w:ind w:left="2160" w:hanging="360"/>
      </w:pPr>
    </w:lvl>
    <w:lvl w:ilvl="3" w:tplc="888A8982">
      <w:start w:val="1"/>
      <w:numFmt w:val="bullet"/>
      <w:lvlText w:val="●"/>
      <w:lvlJc w:val="left"/>
      <w:pPr>
        <w:ind w:left="2880" w:hanging="360"/>
      </w:pPr>
    </w:lvl>
    <w:lvl w:ilvl="4" w:tplc="D1F2CC52">
      <w:start w:val="1"/>
      <w:numFmt w:val="bullet"/>
      <w:lvlText w:val="○"/>
      <w:lvlJc w:val="left"/>
      <w:pPr>
        <w:ind w:left="3600" w:hanging="360"/>
      </w:pPr>
    </w:lvl>
    <w:lvl w:ilvl="5" w:tplc="E5AC9E7E">
      <w:start w:val="1"/>
      <w:numFmt w:val="bullet"/>
      <w:lvlText w:val="■"/>
      <w:lvlJc w:val="left"/>
      <w:pPr>
        <w:ind w:left="4320" w:hanging="360"/>
      </w:pPr>
    </w:lvl>
    <w:lvl w:ilvl="6" w:tplc="C2C6BA4C">
      <w:start w:val="1"/>
      <w:numFmt w:val="bullet"/>
      <w:lvlText w:val="●"/>
      <w:lvlJc w:val="left"/>
      <w:pPr>
        <w:ind w:left="5040" w:hanging="360"/>
      </w:pPr>
    </w:lvl>
    <w:lvl w:ilvl="7" w:tplc="AD52B5EC">
      <w:start w:val="1"/>
      <w:numFmt w:val="bullet"/>
      <w:lvlText w:val="●"/>
      <w:lvlJc w:val="left"/>
      <w:pPr>
        <w:ind w:left="5760" w:hanging="360"/>
      </w:pPr>
    </w:lvl>
    <w:lvl w:ilvl="8" w:tplc="8EF60B8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FB800A1"/>
    <w:multiLevelType w:val="hybridMultilevel"/>
    <w:tmpl w:val="8A6A9A04"/>
    <w:lvl w:ilvl="0" w:tplc="181A1ECC">
      <w:start w:val="1"/>
      <w:numFmt w:val="decimal"/>
      <w:lvlText w:val="%1."/>
      <w:lvlJc w:val="left"/>
      <w:pPr>
        <w:ind w:left="400" w:hanging="400"/>
      </w:pPr>
    </w:lvl>
    <w:lvl w:ilvl="1" w:tplc="D22EC5FE">
      <w:numFmt w:val="decimal"/>
      <w:lvlText w:val=""/>
      <w:lvlJc w:val="left"/>
    </w:lvl>
    <w:lvl w:ilvl="2" w:tplc="163A0ED8">
      <w:numFmt w:val="decimal"/>
      <w:lvlText w:val=""/>
      <w:lvlJc w:val="left"/>
    </w:lvl>
    <w:lvl w:ilvl="3" w:tplc="DDD030FE">
      <w:numFmt w:val="decimal"/>
      <w:lvlText w:val=""/>
      <w:lvlJc w:val="left"/>
    </w:lvl>
    <w:lvl w:ilvl="4" w:tplc="0F94F12C">
      <w:numFmt w:val="decimal"/>
      <w:lvlText w:val=""/>
      <w:lvlJc w:val="left"/>
    </w:lvl>
    <w:lvl w:ilvl="5" w:tplc="D654DA56">
      <w:numFmt w:val="decimal"/>
      <w:lvlText w:val=""/>
      <w:lvlJc w:val="left"/>
    </w:lvl>
    <w:lvl w:ilvl="6" w:tplc="979245EC">
      <w:numFmt w:val="decimal"/>
      <w:lvlText w:val=""/>
      <w:lvlJc w:val="left"/>
    </w:lvl>
    <w:lvl w:ilvl="7" w:tplc="ED1AB426">
      <w:numFmt w:val="decimal"/>
      <w:lvlText w:val=""/>
      <w:lvlJc w:val="left"/>
    </w:lvl>
    <w:lvl w:ilvl="8" w:tplc="A4F25542">
      <w:numFmt w:val="decimal"/>
      <w:lvlText w:val=""/>
      <w:lvlJc w:val="left"/>
    </w:lvl>
  </w:abstractNum>
  <w:num w:numId="1" w16cid:durableId="1276405427">
    <w:abstractNumId w:val="0"/>
    <w:lvlOverride w:ilvl="0">
      <w:startOverride w:val="1"/>
    </w:lvlOverride>
  </w:num>
  <w:num w:numId="2" w16cid:durableId="71234354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2F0"/>
    <w:rsid w:val="000670FD"/>
    <w:rsid w:val="000D763B"/>
    <w:rsid w:val="00172B20"/>
    <w:rsid w:val="001A4031"/>
    <w:rsid w:val="001D3BAE"/>
    <w:rsid w:val="001D76F8"/>
    <w:rsid w:val="00274CAD"/>
    <w:rsid w:val="00346C31"/>
    <w:rsid w:val="00371E86"/>
    <w:rsid w:val="003846F1"/>
    <w:rsid w:val="0039331F"/>
    <w:rsid w:val="00402CC8"/>
    <w:rsid w:val="00414DE0"/>
    <w:rsid w:val="00426F46"/>
    <w:rsid w:val="00521FA7"/>
    <w:rsid w:val="005709F7"/>
    <w:rsid w:val="005E0077"/>
    <w:rsid w:val="006068FE"/>
    <w:rsid w:val="00624B91"/>
    <w:rsid w:val="006970FE"/>
    <w:rsid w:val="006B040B"/>
    <w:rsid w:val="006C41F1"/>
    <w:rsid w:val="006D44F3"/>
    <w:rsid w:val="00705780"/>
    <w:rsid w:val="00783B39"/>
    <w:rsid w:val="00794533"/>
    <w:rsid w:val="008010AC"/>
    <w:rsid w:val="00880149"/>
    <w:rsid w:val="00914F84"/>
    <w:rsid w:val="009346D4"/>
    <w:rsid w:val="00935F25"/>
    <w:rsid w:val="00A067CC"/>
    <w:rsid w:val="00A4388B"/>
    <w:rsid w:val="00A92300"/>
    <w:rsid w:val="00AB3D4D"/>
    <w:rsid w:val="00AC4538"/>
    <w:rsid w:val="00AF1D11"/>
    <w:rsid w:val="00B011BA"/>
    <w:rsid w:val="00B17114"/>
    <w:rsid w:val="00B479A8"/>
    <w:rsid w:val="00B6535A"/>
    <w:rsid w:val="00B728FB"/>
    <w:rsid w:val="00B7359F"/>
    <w:rsid w:val="00B83471"/>
    <w:rsid w:val="00B90997"/>
    <w:rsid w:val="00B92C48"/>
    <w:rsid w:val="00C63D89"/>
    <w:rsid w:val="00D2068F"/>
    <w:rsid w:val="00D47118"/>
    <w:rsid w:val="00D5639F"/>
    <w:rsid w:val="00D9384E"/>
    <w:rsid w:val="00DA32F0"/>
    <w:rsid w:val="00DB1496"/>
    <w:rsid w:val="00DB1C55"/>
    <w:rsid w:val="00DD75C8"/>
    <w:rsid w:val="00E31454"/>
    <w:rsid w:val="00E35455"/>
    <w:rsid w:val="00E5570C"/>
    <w:rsid w:val="00F149F1"/>
    <w:rsid w:val="00F61805"/>
    <w:rsid w:val="00F8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0D4F9"/>
  <w15:docId w15:val="{2CFFC674-FBF1-4A50-A4B1-D3AF9C971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9230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2300"/>
  </w:style>
  <w:style w:type="paragraph" w:styleId="Footer">
    <w:name w:val="footer"/>
    <w:basedOn w:val="Normal"/>
    <w:link w:val="FooterChar"/>
    <w:uiPriority w:val="99"/>
    <w:unhideWhenUsed/>
    <w:rsid w:val="00A9230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2300"/>
  </w:style>
  <w:style w:type="character" w:styleId="CommentReference">
    <w:name w:val="annotation reference"/>
    <w:basedOn w:val="DefaultParagraphFont"/>
    <w:uiPriority w:val="99"/>
    <w:semiHidden/>
    <w:unhideWhenUsed/>
    <w:rsid w:val="00AB3D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3D4D"/>
  </w:style>
  <w:style w:type="character" w:customStyle="1" w:styleId="CommentTextChar">
    <w:name w:val="Comment Text Char"/>
    <w:basedOn w:val="DefaultParagraphFont"/>
    <w:link w:val="CommentText"/>
    <w:uiPriority w:val="99"/>
    <w:rsid w:val="00AB3D4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3D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3D4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92C4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B7AED1EB8872D488396A5C8DAF7E806" ma:contentTypeVersion="3" ma:contentTypeDescription="Umožňuje vytvoriť nový dokument." ma:contentTypeScope="" ma:versionID="7f618c1de49da46fe6e4cfd8083733a5">
  <xsd:schema xmlns:xsd="http://www.w3.org/2001/XMLSchema" xmlns:xs="http://www.w3.org/2001/XMLSchema" xmlns:p="http://schemas.microsoft.com/office/2006/metadata/properties" xmlns:ns2="9de52214-989b-465d-a15c-cca52df438a8" targetNamespace="http://schemas.microsoft.com/office/2006/metadata/properties" ma:root="true" ma:fieldsID="dbb537ae40b8f222eae673c8301b2cae" ns2:_="">
    <xsd:import namespace="9de52214-989b-465d-a15c-cca52df438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52214-989b-465d-a15c-cca52df438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77D2D3-60BC-4300-BBB6-C92DC1955B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9FB53F-2D6B-406C-8F9A-2522601F73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157FC9-6F70-4939-B941-ADC1EC975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52214-989b-465d-a15c-cca52df438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1863</Words>
  <Characters>10621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Ivančík Karol</cp:lastModifiedBy>
  <cp:revision>85</cp:revision>
  <dcterms:created xsi:type="dcterms:W3CDTF">2026-09-24T23:52:00Z</dcterms:created>
  <dcterms:modified xsi:type="dcterms:W3CDTF">2026-10-09T15:20:00Z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0x0101007B7AED1EB8872D488396A5C8DAF7E806</vt:lpwstr>
  </property>
</Properties>
</file>