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106EC" w14:textId="77777777" w:rsidR="006E183A" w:rsidRDefault="006E183A" w:rsidP="00E1051F">
      <w:pPr>
        <w:spacing w:after="0"/>
        <w:rPr>
          <w:sz w:val="24"/>
          <w:szCs w:val="24"/>
        </w:rPr>
      </w:pPr>
    </w:p>
    <w:p w14:paraId="441A0625" w14:textId="5BAAC645" w:rsidR="001E604B" w:rsidRPr="001E604B" w:rsidRDefault="005655DB" w:rsidP="00E1051F">
      <w:pPr>
        <w:spacing w:after="0"/>
        <w:rPr>
          <w:sz w:val="24"/>
          <w:szCs w:val="24"/>
        </w:rPr>
      </w:pPr>
      <w:r w:rsidRPr="005655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="001E604B"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="001E604B"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                       </w:t>
      </w:r>
      <w:r w:rsidR="001E604B"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1E604B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7F7679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D52A68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center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8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hanging="207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4C618701" w14:textId="226B2E6D" w:rsidR="001E604B" w:rsidRDefault="003F68BC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lang w:val="sk" w:eastAsia="sk"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</w:p>
    <w:p w14:paraId="328440E9" w14:textId="2974D125" w:rsidR="00165627" w:rsidRPr="00185004" w:rsidRDefault="00185004" w:rsidP="00185004">
      <w:pPr>
        <w:pStyle w:val="Nadpis1"/>
        <w:keepNext w:val="0"/>
        <w:spacing w:before="0"/>
        <w:ind w:left="2694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 xml:space="preserve"> </w:t>
      </w:r>
      <w:r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v</w:t>
      </w:r>
      <w:r w:rsidR="00165627" w:rsidRPr="00185004">
        <w:rPr>
          <w:rFonts w:asciiTheme="minorHAnsi" w:eastAsia="Arial" w:hAnsiTheme="minorHAnsi" w:cstheme="minorHAnsi"/>
          <w:b w:val="0"/>
          <w:bCs w:val="0"/>
          <w:color w:val="auto"/>
          <w:sz w:val="22"/>
          <w:szCs w:val="22"/>
          <w:lang w:val="sk" w:eastAsia="sk"/>
        </w:rPr>
        <w:t> zmysle</w:t>
      </w:r>
      <w:r w:rsidR="00165627" w:rsidRPr="00185004">
        <w:rPr>
          <w:rFonts w:asciiTheme="minorHAnsi" w:eastAsia="Arial" w:hAnsiTheme="minorHAnsi" w:cstheme="minorHAnsi"/>
          <w:color w:val="auto"/>
          <w:sz w:val="22"/>
          <w:szCs w:val="22"/>
          <w:lang w:val="sk" w:eastAsia="sk"/>
        </w:rPr>
        <w:t xml:space="preserve"> </w:t>
      </w:r>
      <w:r w:rsidR="00165627" w:rsidRPr="00185004">
        <w:rPr>
          <w:rFonts w:asciiTheme="minorHAnsi" w:hAnsiTheme="minorHAnsi" w:cstheme="minorHAnsi"/>
          <w:b w:val="0"/>
          <w:color w:val="auto"/>
          <w:sz w:val="22"/>
          <w:szCs w:val="22"/>
        </w:rPr>
        <w:t>§ 9 ods. 1 písm. a) zákona č. 343/2015 Z. z. o  verejnom obstarávaní a o zmene a doplnení niektorých zákonov v znení neskorších predpisov (ďalej len „zákon o verejnom obstarávaní“)</w:t>
      </w:r>
    </w:p>
    <w:p w14:paraId="04E0C320" w14:textId="16BB083C" w:rsidR="00A8748A" w:rsidRPr="00454632" w:rsidRDefault="00A8748A" w:rsidP="00454632">
      <w:pPr>
        <w:widowControl w:val="0"/>
        <w:autoSpaceDE w:val="0"/>
        <w:autoSpaceDN w:val="0"/>
        <w:spacing w:after="0" w:line="240" w:lineRule="auto"/>
        <w:ind w:left="602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16D0ACB9" w:rsidR="001E604B" w:rsidRDefault="001E604B" w:rsidP="00454632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E4386B">
        <w:rPr>
          <w:rFonts w:ascii="Calibri" w:eastAsia="Arial" w:hAnsi="Calibri" w:cs="Calibri"/>
          <w:lang w:val="sk" w:eastAsia="sk"/>
        </w:rPr>
        <w:t xml:space="preserve">Ing, Milan Hamala 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9" w:history="1">
        <w:r w:rsidR="00E4386B" w:rsidRPr="00FD764B">
          <w:rPr>
            <w:rStyle w:val="Hypertextovprepojenie"/>
            <w:rFonts w:ascii="Calibri" w:eastAsia="Arial" w:hAnsi="Calibri" w:cs="Calibri"/>
            <w:lang w:val="sk" w:eastAsia="sk"/>
          </w:rPr>
          <w:t>hamala@olo.sk</w:t>
        </w:r>
      </w:hyperlink>
      <w:r w:rsidR="003F68BC">
        <w:rPr>
          <w:rFonts w:ascii="Calibri" w:eastAsia="Arial" w:hAnsi="Calibri" w:cs="Calibri"/>
          <w:lang w:val="sk" w:eastAsia="sk"/>
        </w:rPr>
        <w:t>, 02/50110</w:t>
      </w:r>
      <w:r w:rsidR="00E4386B">
        <w:rPr>
          <w:rFonts w:ascii="Calibri" w:eastAsia="Arial" w:hAnsi="Calibri" w:cs="Calibri"/>
          <w:lang w:val="sk" w:eastAsia="sk"/>
        </w:rPr>
        <w:t>400</w:t>
      </w:r>
    </w:p>
    <w:p w14:paraId="43B22483" w14:textId="77777777" w:rsidR="00C535B8" w:rsidRPr="00C535B8" w:rsidRDefault="00C535B8" w:rsidP="00C535B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18AE75D2" w14:textId="64E2C43F" w:rsidR="00C535B8" w:rsidRPr="001E604B" w:rsidRDefault="00C535B8" w:rsidP="00C535B8">
      <w:pPr>
        <w:widowControl w:val="0"/>
        <w:autoSpaceDE w:val="0"/>
        <w:autoSpaceDN w:val="0"/>
        <w:spacing w:after="0" w:line="240" w:lineRule="auto"/>
        <w:ind w:left="624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>
        <w:rPr>
          <w:rFonts w:ascii="Calibri" w:eastAsia="Arial" w:hAnsi="Calibri" w:cs="Calibri"/>
          <w:lang w:eastAsia="sk"/>
        </w:rPr>
        <w:t xml:space="preserve"> </w:t>
      </w:r>
      <w:hyperlink r:id="rId10" w:history="1">
        <w:r w:rsidR="000C7857" w:rsidRPr="00AE58D7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https://josephine.proebiz.com/sk/tender/8292/summary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667EBB6" w14:textId="77777777" w:rsidR="00454632" w:rsidRDefault="001E604B" w:rsidP="00454632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31A2173C" w:rsidR="00AA55B6" w:rsidRPr="00063F3D" w:rsidRDefault="007F7679" w:rsidP="00372E7D">
      <w:pPr>
        <w:spacing w:after="0"/>
        <w:ind w:left="567"/>
        <w:jc w:val="both"/>
        <w:rPr>
          <w:rFonts w:cstheme="minorHAnsi"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lang w:val="sk" w:eastAsia="sk"/>
        </w:rPr>
        <w:t>Názov:</w:t>
      </w:r>
      <w:r w:rsidR="001E604B" w:rsidRPr="001E604B">
        <w:rPr>
          <w:rFonts w:ascii="Calibri" w:eastAsia="Arial" w:hAnsi="Calibri" w:cs="Calibri"/>
          <w:lang w:val="sk" w:eastAsia="sk"/>
        </w:rPr>
        <w:tab/>
      </w:r>
      <w:r w:rsidR="00372E7D" w:rsidRPr="00372E7D">
        <w:rPr>
          <w:b/>
          <w:bCs/>
        </w:rPr>
        <w:t>Duálny filter s náhradnými dielmi</w:t>
      </w:r>
      <w:r w:rsidR="00AA55B6" w:rsidRPr="00063F3D">
        <w:rPr>
          <w:rFonts w:cstheme="minorHAnsi"/>
        </w:rPr>
        <w:t>.</w:t>
      </w:r>
    </w:p>
    <w:p w14:paraId="7CFD4B93" w14:textId="77777777" w:rsidR="00D07A27" w:rsidRDefault="001E604B" w:rsidP="00C247A8">
      <w:pPr>
        <w:spacing w:after="0" w:line="259" w:lineRule="auto"/>
        <w:ind w:left="709" w:hanging="567"/>
        <w:jc w:val="both"/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D07A27">
        <w:t xml:space="preserve">42955000-5 - Časti filtračných zariadení; </w:t>
      </w:r>
    </w:p>
    <w:p w14:paraId="41772205" w14:textId="26CA4001" w:rsidR="00D07A27" w:rsidRDefault="00D07A27" w:rsidP="00C247A8">
      <w:pPr>
        <w:spacing w:after="0" w:line="259" w:lineRule="auto"/>
        <w:ind w:left="709" w:hanging="567"/>
        <w:jc w:val="both"/>
      </w:pPr>
      <w:r>
        <w:t xml:space="preserve">           42912310-8 - Prístroje na filtráciu vody; </w:t>
      </w:r>
    </w:p>
    <w:p w14:paraId="4C0C3595" w14:textId="2FE54F24" w:rsidR="0057058A" w:rsidRDefault="00D07A27" w:rsidP="00C247A8">
      <w:pPr>
        <w:spacing w:after="0" w:line="259" w:lineRule="auto"/>
        <w:ind w:left="709" w:hanging="567"/>
        <w:jc w:val="both"/>
        <w:rPr>
          <w:rFonts w:ascii="Calibri" w:eastAsia="Arial" w:hAnsi="Calibri" w:cs="Calibri"/>
          <w:bCs/>
          <w:lang w:eastAsia="sk"/>
        </w:rPr>
      </w:pPr>
      <w:r>
        <w:t xml:space="preserve">           60000000-8 - Dopravné služby (bez prepravy odpadu)</w:t>
      </w:r>
    </w:p>
    <w:p w14:paraId="44ADE7D6" w14:textId="77777777" w:rsidR="00C247A8" w:rsidRDefault="00C247A8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</w:p>
    <w:p w14:paraId="6949D576" w14:textId="56CBB396" w:rsidR="0094438A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 xml:space="preserve">      </w:t>
      </w:r>
      <w:r w:rsidR="00757342">
        <w:rPr>
          <w:rFonts w:ascii="Calibri" w:eastAsia="Arial" w:hAnsi="Calibri" w:cs="Calibri"/>
          <w:bCs/>
          <w:lang w:eastAsia="sk"/>
        </w:rPr>
        <w:t xml:space="preserve"> tovar</w:t>
      </w:r>
    </w:p>
    <w:p w14:paraId="6304B879" w14:textId="10BA1B5B" w:rsidR="003F68BC" w:rsidRPr="0094438A" w:rsidRDefault="0094438A" w:rsidP="00AE190C">
      <w:pPr>
        <w:widowControl w:val="0"/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6B53FF74" w14:textId="261E8D3B" w:rsidR="004A3249" w:rsidRPr="004A3249" w:rsidRDefault="003F68BC" w:rsidP="003F68B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 </w:t>
      </w:r>
    </w:p>
    <w:p w14:paraId="307B7AE5" w14:textId="676E90DC" w:rsidR="007F7679" w:rsidRPr="00BC7473" w:rsidRDefault="00454632" w:rsidP="009043FD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3CE3EF72" w14:textId="751E7875" w:rsidR="000065CC" w:rsidRDefault="00895E51" w:rsidP="002D4EE0">
      <w:pPr>
        <w:spacing w:after="0"/>
        <w:ind w:left="567"/>
        <w:jc w:val="both"/>
        <w:rPr>
          <w:rFonts w:cstheme="minorHAnsi"/>
        </w:rPr>
      </w:pPr>
      <w:r w:rsidRPr="00D123EA">
        <w:rPr>
          <w:rFonts w:cstheme="minorHAnsi"/>
          <w:color w:val="333333"/>
          <w:shd w:val="clear" w:color="auto" w:fill="FFFFFF"/>
        </w:rPr>
        <w:t xml:space="preserve">Predmetom zákazky je </w:t>
      </w:r>
      <w:r w:rsidR="0052107B">
        <w:t>Predmetom zákazky je nákup duálnych filtrov s príslušenstvom.</w:t>
      </w:r>
      <w:r w:rsidR="00C56CDB" w:rsidRPr="00C56CDB">
        <w:t xml:space="preserve"> </w:t>
      </w:r>
      <w:r w:rsidR="00C56CDB">
        <w:t>Duálny filter slúži na filtráciu úžitkovej vody s požiadavkou na minimálnu stratu tlaku pri nepretržitom prietoku.</w:t>
      </w:r>
      <w:r w:rsidR="00A14F92" w:rsidRPr="00A14F92">
        <w:t xml:space="preserve"> </w:t>
      </w:r>
      <w:r w:rsidR="00A14F92">
        <w:t>Filter má liatu konštrukciu, obsahuje dve komory, každá z nich obsahuje kôš z nehrdzavejúcej ocele. Tok je odklonený z jedného koša do druhého bez prerušenia otáčaním rukoväte, ktorá otáča duálnymi valcovými kohútikmi, dodávajúcimi prúd do príslušnej komory Nasadené sú aplikácie Airpel OWSS-100F-A300-V, 1“ (DN25), napojenie príruby, NB Airpel s dvojitým košom z nehrdzavejúcej ocele, model OW, Vysokotlakový s poistnými ventilmi taktiež z nehrdzavejúcej ocele, prírubový EN1092-1-PN25 RF doplnený tesneniami Viton a perforovaným košom s priemerom 1,6mm. Dodanie na sklad</w:t>
      </w:r>
      <w:r w:rsidRPr="00063F3D">
        <w:rPr>
          <w:rFonts w:cstheme="minorHAnsi"/>
          <w:color w:val="333333"/>
          <w:shd w:val="clear" w:color="auto" w:fill="FFFFFF"/>
        </w:rPr>
        <w:t>.</w:t>
      </w:r>
      <w:r w:rsidRPr="00063F3D">
        <w:rPr>
          <w:rFonts w:cstheme="minorHAnsi"/>
        </w:rPr>
        <w:t xml:space="preserve"> </w:t>
      </w:r>
      <w:r w:rsidR="000065CC">
        <w:rPr>
          <w:rFonts w:cstheme="minorHAnsi"/>
        </w:rPr>
        <w:t>Záručná doba 12 mesiacov</w:t>
      </w:r>
      <w:r w:rsidR="00A23D94">
        <w:rPr>
          <w:rFonts w:cstheme="minorHAnsi"/>
        </w:rPr>
        <w:t>.</w:t>
      </w:r>
    </w:p>
    <w:p w14:paraId="210FBAA7" w14:textId="4827A574" w:rsidR="002D4EE0" w:rsidRDefault="002D4EE0" w:rsidP="002D4EE0">
      <w:pPr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( Spolu 5 ks tovaru)</w:t>
      </w:r>
    </w:p>
    <w:p w14:paraId="17C5082C" w14:textId="1ABF6DCC" w:rsidR="0065567A" w:rsidRPr="00063F3D" w:rsidRDefault="005975F4" w:rsidP="00D123EA">
      <w:pPr>
        <w:ind w:left="567"/>
        <w:jc w:val="both"/>
        <w:rPr>
          <w:rFonts w:cstheme="minorHAnsi"/>
        </w:rPr>
      </w:pPr>
      <w:r w:rsidRPr="00063F3D">
        <w:rPr>
          <w:rFonts w:cstheme="minorHAnsi"/>
        </w:rPr>
        <w:t>Presná technická špecifikácia uvedená v Prílohe č. 1 v</w:t>
      </w:r>
      <w:r w:rsidR="00F05AD0" w:rsidRPr="00063F3D">
        <w:rPr>
          <w:rFonts w:cstheme="minorHAnsi"/>
        </w:rPr>
        <w:t>ý</w:t>
      </w:r>
      <w:r w:rsidR="00895E51" w:rsidRPr="00063F3D">
        <w:rPr>
          <w:rFonts w:cstheme="minorHAnsi"/>
        </w:rPr>
        <w:t>zvy</w:t>
      </w:r>
      <w:r w:rsidRPr="00063F3D">
        <w:rPr>
          <w:rFonts w:cstheme="minorHAnsi"/>
        </w:rPr>
        <w:t>.</w:t>
      </w:r>
    </w:p>
    <w:p w14:paraId="7AE4B9BF" w14:textId="77777777" w:rsidR="00167096" w:rsidRPr="00167096" w:rsidRDefault="00167096" w:rsidP="00167096">
      <w:pPr>
        <w:pStyle w:val="Odsekzoznamu"/>
        <w:widowControl w:val="0"/>
        <w:autoSpaceDE w:val="0"/>
        <w:autoSpaceDN w:val="0"/>
        <w:ind w:left="340"/>
        <w:rPr>
          <w:rFonts w:cstheme="minorHAnsi"/>
          <w:b/>
        </w:rPr>
      </w:pPr>
    </w:p>
    <w:p w14:paraId="4407FB93" w14:textId="72046C3E" w:rsidR="00114F79" w:rsidRPr="00BC7473" w:rsidRDefault="00C535B8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6386F157" w14:textId="53B1949E" w:rsidR="00C535B8" w:rsidRPr="00F75109" w:rsidRDefault="00CB219E" w:rsidP="00FF2ABC">
      <w:pPr>
        <w:widowControl w:val="0"/>
        <w:tabs>
          <w:tab w:val="left" w:pos="709"/>
        </w:tabs>
        <w:autoSpaceDE w:val="0"/>
        <w:autoSpaceDN w:val="0"/>
        <w:spacing w:after="0"/>
        <w:ind w:left="567"/>
        <w:jc w:val="both"/>
        <w:rPr>
          <w:rFonts w:ascii="Calibri" w:eastAsia="Arial" w:hAnsi="Calibri" w:cs="Calibri"/>
          <w:lang w:eastAsia="sk"/>
        </w:rPr>
      </w:pPr>
      <w:r>
        <w:rPr>
          <w:rFonts w:cstheme="minorHAnsi"/>
          <w:bCs/>
        </w:rPr>
        <w:t>6</w:t>
      </w:r>
      <w:r w:rsidR="00FF2ABC">
        <w:rPr>
          <w:rFonts w:cstheme="minorHAnsi"/>
          <w:bCs/>
        </w:rPr>
        <w:t xml:space="preserve"> </w:t>
      </w:r>
      <w:r>
        <w:rPr>
          <w:rFonts w:cstheme="minorHAnsi"/>
          <w:bCs/>
        </w:rPr>
        <w:t>784</w:t>
      </w:r>
      <w:r w:rsidR="007A0ADF" w:rsidRPr="007A0ADF">
        <w:rPr>
          <w:rFonts w:cstheme="minorHAnsi"/>
          <w:bCs/>
        </w:rPr>
        <w:t>,</w:t>
      </w:r>
      <w:r>
        <w:rPr>
          <w:rFonts w:cstheme="minorHAnsi"/>
          <w:bCs/>
        </w:rPr>
        <w:t>1</w:t>
      </w:r>
      <w:r w:rsidR="008C1C0B">
        <w:rPr>
          <w:rFonts w:cstheme="minorHAnsi"/>
          <w:bCs/>
        </w:rPr>
        <w:t>0</w:t>
      </w:r>
      <w:r w:rsidR="007A0ADF" w:rsidRPr="007A0ADF">
        <w:rPr>
          <w:rFonts w:cstheme="minorHAnsi"/>
          <w:bCs/>
        </w:rPr>
        <w:t xml:space="preserve"> </w:t>
      </w:r>
      <w:r w:rsidR="005975F4" w:rsidRPr="007A0ADF">
        <w:rPr>
          <w:rFonts w:eastAsia="Arial" w:cstheme="minorHAnsi"/>
          <w:lang w:eastAsia="sk"/>
        </w:rPr>
        <w:t>€</w:t>
      </w:r>
      <w:r w:rsidR="005975F4">
        <w:rPr>
          <w:rFonts w:ascii="Calibri" w:eastAsia="Arial" w:hAnsi="Calibri" w:cs="Calibri"/>
          <w:lang w:eastAsia="sk"/>
        </w:rPr>
        <w:t xml:space="preserve"> bez DPH</w:t>
      </w:r>
    </w:p>
    <w:p w14:paraId="2D64A5BC" w14:textId="77777777" w:rsidR="00871037" w:rsidRPr="00BC7473" w:rsidRDefault="00897E6E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5E18ECC3" w:rsidR="00897E6E" w:rsidRPr="00F75109" w:rsidRDefault="00897E6E" w:rsidP="008504ED">
      <w:pPr>
        <w:widowControl w:val="0"/>
        <w:autoSpaceDE w:val="0"/>
        <w:autoSpaceDN w:val="0"/>
        <w:spacing w:after="0" w:line="360" w:lineRule="auto"/>
        <w:ind w:left="340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>Zákazka nie je rozdelená na časti.</w:t>
      </w:r>
    </w:p>
    <w:p w14:paraId="71B84CA1" w14:textId="196436EA" w:rsidR="00897E6E" w:rsidRDefault="00897E6E" w:rsidP="003D246B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36208640" w14:textId="0E1ECE3C" w:rsidR="003D246B" w:rsidRDefault="00CB219E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Objednávka</w:t>
      </w:r>
    </w:p>
    <w:p w14:paraId="24AB2982" w14:textId="6F309712" w:rsidR="004220F3" w:rsidRPr="003D246B" w:rsidRDefault="003D246B" w:rsidP="003D246B">
      <w:pPr>
        <w:pStyle w:val="vyzvalanky"/>
        <w:numPr>
          <w:ilvl w:val="0"/>
          <w:numId w:val="0"/>
        </w:numPr>
        <w:ind w:left="357"/>
        <w:rPr>
          <w:color w:val="auto"/>
          <w:sz w:val="22"/>
          <w:szCs w:val="22"/>
        </w:rPr>
      </w:pPr>
      <w:r>
        <w:rPr>
          <w:color w:val="1F497D" w:themeColor="text2"/>
        </w:rPr>
        <w:t xml:space="preserve">  </w:t>
      </w:r>
    </w:p>
    <w:p w14:paraId="6966FC17" w14:textId="673FF7B5" w:rsidR="00D52A68" w:rsidRDefault="00486FBC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Plnenie na základe </w:t>
      </w:r>
      <w:r w:rsidR="009F162E">
        <w:rPr>
          <w:rFonts w:cstheme="minorHAnsi"/>
        </w:rPr>
        <w:t>objednáv</w:t>
      </w:r>
      <w:r w:rsidR="00CB219E">
        <w:rPr>
          <w:rFonts w:cstheme="minorHAnsi"/>
        </w:rPr>
        <w:t>ky</w:t>
      </w:r>
      <w:r w:rsidR="00F66608">
        <w:rPr>
          <w:rFonts w:cstheme="minorHAnsi"/>
        </w:rPr>
        <w:t xml:space="preserve">, </w:t>
      </w:r>
      <w:r w:rsidR="004220F3" w:rsidRPr="004220F3">
        <w:rPr>
          <w:rFonts w:cstheme="minorHAnsi"/>
        </w:rPr>
        <w:t xml:space="preserve">vystavená faktúra zo strany dodávateľa </w:t>
      </w:r>
      <w:r w:rsidR="00EC13D2">
        <w:rPr>
          <w:rFonts w:cstheme="minorHAnsi"/>
        </w:rPr>
        <w:t>tovaru</w:t>
      </w:r>
      <w:r w:rsidR="004220F3" w:rsidRPr="004220F3">
        <w:rPr>
          <w:rFonts w:cstheme="minorHAnsi"/>
        </w:rPr>
        <w:t xml:space="preserve"> musí obsahovať všetky náležitosti daňového dokladu podľa zákona č. 222/2004 Z. z. o dani z pridanej hodnoty v znení neskorších predpisov. Platba bude realizovaná bezhotovostným platobným príkazom. </w:t>
      </w:r>
    </w:p>
    <w:p w14:paraId="56421A11" w14:textId="40EEE9A0" w:rsidR="00B74793" w:rsidRDefault="00B74793" w:rsidP="00D52A68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BC7473">
      <w:pPr>
        <w:pStyle w:val="vyzvalanky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760CF6B9" w14:textId="67EB4252" w:rsidR="001F69CA" w:rsidRPr="00AA2467" w:rsidRDefault="00990923" w:rsidP="00990923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E87E81">
        <w:rPr>
          <w:rFonts w:cstheme="minorHAnsi"/>
          <w:b/>
          <w:bCs/>
        </w:rPr>
        <w:t xml:space="preserve">       </w:t>
      </w:r>
      <w:r w:rsidR="00E87E81">
        <w:rPr>
          <w:rFonts w:cstheme="minorHAnsi"/>
          <w:b/>
          <w:bCs/>
        </w:rPr>
        <w:t xml:space="preserve"> </w:t>
      </w:r>
      <w:r w:rsidR="00DD763B" w:rsidRPr="00AA2467">
        <w:rPr>
          <w:rFonts w:cstheme="minorHAnsi"/>
        </w:rPr>
        <w:t>Nie je potrebná</w:t>
      </w:r>
    </w:p>
    <w:p w14:paraId="52184B2C" w14:textId="77777777" w:rsidR="00E87E81" w:rsidRDefault="00895E51" w:rsidP="00990923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76541644" w:rsidR="00687801" w:rsidRPr="00BC7473" w:rsidRDefault="00895E51" w:rsidP="00DD763B">
      <w:pPr>
        <w:widowControl w:val="0"/>
        <w:autoSpaceDE w:val="0"/>
        <w:autoSpaceDN w:val="0"/>
        <w:spacing w:after="0"/>
        <w:jc w:val="both"/>
        <w:rPr>
          <w:color w:val="1F497D" w:themeColor="text2"/>
          <w:sz w:val="28"/>
          <w:szCs w:val="28"/>
          <w:lang w:val="sk" w:eastAsia="sk"/>
        </w:rPr>
      </w:pPr>
      <w:r w:rsidRPr="00E87E81">
        <w:rPr>
          <w:rFonts w:cstheme="minorHAnsi"/>
          <w:b/>
          <w:bCs/>
        </w:rPr>
        <w:t xml:space="preserve"> </w:t>
      </w:r>
      <w:r w:rsidR="00E87E81">
        <w:rPr>
          <w:rFonts w:cstheme="minorHAnsi"/>
          <w:b/>
          <w:bCs/>
        </w:rPr>
        <w:t xml:space="preserve">       </w:t>
      </w:r>
      <w:r w:rsidR="001F69CA" w:rsidRPr="00BC7473">
        <w:rPr>
          <w:color w:val="1F497D" w:themeColor="text2"/>
          <w:sz w:val="28"/>
          <w:szCs w:val="28"/>
          <w:lang w:val="sk" w:eastAsia="sk"/>
        </w:rPr>
        <w:t>Miesto a čas dodania zákazk</w:t>
      </w:r>
      <w:r w:rsidR="00F75109" w:rsidRPr="00BC7473">
        <w:rPr>
          <w:color w:val="1F497D" w:themeColor="text2"/>
          <w:sz w:val="28"/>
          <w:szCs w:val="28"/>
          <w:lang w:val="sk" w:eastAsia="sk"/>
        </w:rPr>
        <w:t>y</w:t>
      </w:r>
    </w:p>
    <w:p w14:paraId="16C97E6D" w14:textId="13EBAF6D" w:rsidR="001E604B" w:rsidRDefault="00394D55" w:rsidP="00F75109">
      <w:pPr>
        <w:pStyle w:val="Odsekzoznamu"/>
        <w:ind w:left="34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033094" w:rsidRPr="00F75109">
        <w:rPr>
          <w:rFonts w:cstheme="minorHAnsi"/>
          <w:color w:val="000000" w:themeColor="text1"/>
          <w:lang w:val="sk" w:eastAsia="sk"/>
        </w:rPr>
        <w:t>Z</w:t>
      </w:r>
      <w:r w:rsidR="00334491" w:rsidRPr="00F75109">
        <w:rPr>
          <w:rFonts w:cstheme="minorHAnsi"/>
          <w:color w:val="000000" w:themeColor="text1"/>
          <w:lang w:val="sk" w:eastAsia="sk"/>
        </w:rPr>
        <w:t>ávod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ZEVO (</w:t>
      </w:r>
      <w:r w:rsidR="00334491" w:rsidRPr="00F75109">
        <w:rPr>
          <w:rFonts w:cstheme="minorHAnsi"/>
          <w:color w:val="000000" w:themeColor="text1"/>
          <w:lang w:val="sk" w:eastAsia="sk"/>
        </w:rPr>
        <w:t>Spaľovňa odpadu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)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0BE5579F" w:rsidR="005975F4" w:rsidRPr="005975F4" w:rsidRDefault="005975F4" w:rsidP="005975F4">
      <w:pPr>
        <w:pStyle w:val="Odsekzoznamu"/>
        <w:ind w:left="340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FF2ABC">
        <w:rPr>
          <w:rFonts w:cstheme="minorHAnsi"/>
        </w:rPr>
        <w:t xml:space="preserve">do </w:t>
      </w:r>
      <w:r w:rsidR="002D4661">
        <w:rPr>
          <w:rFonts w:cstheme="minorHAnsi"/>
        </w:rPr>
        <w:t>6 týždňov od ukončenia obstarávania</w:t>
      </w:r>
      <w:r w:rsidRPr="005975F4">
        <w:rPr>
          <w:rFonts w:cstheme="minorHAnsi"/>
          <w:lang w:eastAsia="sk"/>
        </w:rPr>
        <w:t>.</w:t>
      </w:r>
    </w:p>
    <w:p w14:paraId="441340DC" w14:textId="67A11697" w:rsidR="00352F7B" w:rsidRDefault="00394D55" w:rsidP="00C856A8">
      <w:pPr>
        <w:pStyle w:val="Odsekzoznamu"/>
        <w:spacing w:after="0"/>
        <w:ind w:left="567"/>
        <w:rPr>
          <w:rFonts w:cstheme="minorHAnsi"/>
          <w:color w:val="000000" w:themeColor="text1"/>
          <w:lang w:eastAsia="sk"/>
        </w:rPr>
      </w:pPr>
      <w:r>
        <w:rPr>
          <w:rFonts w:cstheme="minorHAnsi"/>
          <w:color w:val="000000" w:themeColor="text1"/>
          <w:lang w:eastAsia="sk"/>
        </w:rPr>
        <w:t xml:space="preserve">  </w:t>
      </w:r>
    </w:p>
    <w:p w14:paraId="1E60148F" w14:textId="184D68EB" w:rsidR="00352F7B" w:rsidRPr="00BC7473" w:rsidRDefault="00352F7B" w:rsidP="009043FD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6B383841" w:rsidR="00E45F2F" w:rsidRDefault="00352F7B" w:rsidP="00D36D7D">
      <w:pPr>
        <w:pStyle w:val="Odsekzoznamu"/>
        <w:ind w:left="34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</w:p>
    <w:p w14:paraId="0133A4A1" w14:textId="77777777" w:rsidR="00CA770A" w:rsidRPr="00CA770A" w:rsidRDefault="00CA770A" w:rsidP="00CA770A">
      <w:pPr>
        <w:pStyle w:val="Odsekzoznamu"/>
        <w:ind w:left="340"/>
      </w:pPr>
    </w:p>
    <w:p w14:paraId="290EF486" w14:textId="66F97E91" w:rsidR="00F75109" w:rsidRPr="00BC7473" w:rsidRDefault="00BC7473" w:rsidP="009043FD">
      <w:pPr>
        <w:pStyle w:val="Odsekzoznamu"/>
        <w:numPr>
          <w:ilvl w:val="0"/>
          <w:numId w:val="4"/>
        </w:numPr>
        <w:tabs>
          <w:tab w:val="left" w:pos="709"/>
        </w:tabs>
        <w:ind w:left="550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6A172EAB" w:rsidR="009875D2" w:rsidRPr="00F75109" w:rsidRDefault="009875D2" w:rsidP="009043FD">
      <w:pPr>
        <w:pStyle w:val="Odsekzoznamu"/>
        <w:numPr>
          <w:ilvl w:val="0"/>
          <w:numId w:val="7"/>
        </w:numPr>
        <w:spacing w:after="0"/>
        <w:ind w:left="700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2DE383D3" w:rsidR="009875D2" w:rsidRDefault="00687801" w:rsidP="009043FD">
      <w:pPr>
        <w:pStyle w:val="Odsekzoznamu"/>
        <w:widowControl w:val="0"/>
        <w:numPr>
          <w:ilvl w:val="0"/>
          <w:numId w:val="8"/>
        </w:numPr>
        <w:ind w:left="70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9875D2"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EE90981" w:rsidR="009875D2" w:rsidRDefault="009875D2" w:rsidP="00D36D7D">
      <w:pPr>
        <w:ind w:left="340"/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Prílohy č. </w:t>
      </w:r>
      <w:r w:rsidR="00990923">
        <w:rPr>
          <w:u w:color="000000"/>
          <w:lang w:eastAsia="sk"/>
        </w:rPr>
        <w:t>2 Návrh na plnenie kritérií- Cenová ponuka</w:t>
      </w:r>
      <w:r w:rsidRPr="00687801">
        <w:rPr>
          <w:u w:color="000000"/>
          <w:lang w:eastAsia="sk"/>
        </w:rPr>
        <w:t xml:space="preserve"> tejto výzvy.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687801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</w:t>
      </w:r>
      <w:r w:rsidRPr="001E604B">
        <w:rPr>
          <w:rFonts w:ascii="Calibri" w:eastAsia="Arial" w:hAnsi="Calibri" w:cs="Calibri"/>
          <w:lang w:val="sk" w:eastAsia="sk"/>
        </w:rPr>
        <w:lastRenderedPageBreak/>
        <w:t xml:space="preserve">niektorých zákonov. </w:t>
      </w:r>
    </w:p>
    <w:p w14:paraId="1E987845" w14:textId="236348AC" w:rsidR="0054539C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5D29FB7B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1" w:history="1">
        <w:r w:rsidR="000C7857" w:rsidRPr="00AE58D7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https://josephine.proebiz.com/sk/tender/8292/summary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 xml:space="preserve">Tento spôsob komunikácie sa týka akejkoľvek komunikácie a podaní medzi obstarávateľom a záujemcami/uchádzačmi počas celého procesu obstarávania. </w:t>
      </w:r>
    </w:p>
    <w:p w14:paraId="3454036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E45F2F">
      <w:pPr>
        <w:widowControl w:val="0"/>
        <w:autoSpaceDE w:val="0"/>
        <w:autoSpaceDN w:val="0"/>
        <w:spacing w:after="0" w:line="360" w:lineRule="auto"/>
        <w:ind w:left="85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2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025031B9" w:rsidR="00E45F2F" w:rsidRDefault="000C7857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3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9B099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96180B0" w14:textId="20637003" w:rsidR="002B4AE9" w:rsidRDefault="002B4AE9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 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E45F2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F7F1AF1" w14:textId="004A7124" w:rsidR="002B4AE9" w:rsidRP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</w:t>
      </w:r>
      <w:r w:rsidRPr="002B4AE9">
        <w:rPr>
          <w:rFonts w:ascii="Calibri" w:eastAsia="Arial" w:hAnsi="Calibri" w:cs="Calibri"/>
          <w:lang w:eastAsia="sk"/>
        </w:rPr>
        <w:lastRenderedPageBreak/>
        <w:t xml:space="preserve">systéme JOSEPHINE v súlade s funkcionalitou systému. </w:t>
      </w:r>
    </w:p>
    <w:p w14:paraId="55E818B1" w14:textId="619A38B3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2B4AE9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EBDA949" w:rsidR="002B4AE9" w:rsidRPr="00E45F2F" w:rsidRDefault="000C7857" w:rsidP="0036274F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4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>vás rýchlo a jednoducho prevedie procesom prihlásenia, posielania správ a predkladaním ponúk 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5B6BBA00" w:rsidR="009E6ECB" w:rsidRPr="0071425C" w:rsidRDefault="000B4653" w:rsidP="008504ED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09755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624" w:hanging="284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9B0997">
      <w:pPr>
        <w:widowControl w:val="0"/>
        <w:autoSpaceDE w:val="0"/>
        <w:autoSpaceDN w:val="0"/>
        <w:spacing w:before="240" w:after="0"/>
        <w:ind w:left="34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5F0DF252" w:rsidR="002B4AE9" w:rsidRPr="002B4AE9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B259B7">
        <w:rPr>
          <w:rFonts w:ascii="Calibri" w:eastAsia="Arial" w:hAnsi="Calibri" w:cs="Calibri"/>
          <w:lang w:eastAsia="sk"/>
        </w:rPr>
        <w:t>6</w:t>
      </w:r>
      <w:r w:rsidR="00032EFA">
        <w:rPr>
          <w:rFonts w:ascii="Calibri" w:eastAsia="Arial" w:hAnsi="Calibri" w:cs="Calibri"/>
          <w:lang w:eastAsia="sk"/>
        </w:rPr>
        <w:t>.</w:t>
      </w:r>
      <w:r w:rsidR="000E3995">
        <w:rPr>
          <w:rFonts w:ascii="Calibri" w:eastAsia="Arial" w:hAnsi="Calibri" w:cs="Calibri"/>
          <w:lang w:eastAsia="sk"/>
        </w:rPr>
        <w:t>8</w:t>
      </w:r>
      <w:r w:rsidR="00032EFA">
        <w:rPr>
          <w:rFonts w:ascii="Calibri" w:eastAsia="Arial" w:hAnsi="Calibri" w:cs="Calibri"/>
          <w:lang w:eastAsia="sk"/>
        </w:rPr>
        <w:t>.</w:t>
      </w:r>
      <w:r w:rsidRPr="002B4AE9">
        <w:rPr>
          <w:rFonts w:ascii="Calibri" w:eastAsia="Arial" w:hAnsi="Calibri" w:cs="Calibri"/>
          <w:lang w:eastAsia="sk"/>
        </w:rPr>
        <w:t xml:space="preserve"> 2020 do 1</w:t>
      </w:r>
      <w:r w:rsidR="002417E1">
        <w:rPr>
          <w:rFonts w:ascii="Calibri" w:eastAsia="Arial" w:hAnsi="Calibri" w:cs="Calibri"/>
          <w:lang w:eastAsia="sk"/>
        </w:rPr>
        <w:t>1</w:t>
      </w:r>
      <w:r w:rsidRPr="002B4AE9">
        <w:rPr>
          <w:rFonts w:ascii="Calibri" w:eastAsia="Arial" w:hAnsi="Calibri" w:cs="Calibri"/>
          <w:lang w:eastAsia="sk"/>
        </w:rPr>
        <w:t xml:space="preserve">:00 hod. </w:t>
      </w:r>
    </w:p>
    <w:p w14:paraId="1EB78065" w14:textId="6F8C66C5" w:rsidR="001E604B" w:rsidRDefault="002B4AE9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5CBEE844" w14:textId="5F58E4DE" w:rsidR="009B0997" w:rsidRDefault="000C7857" w:rsidP="002B4AE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hyperlink r:id="rId15" w:history="1">
        <w:r w:rsidRPr="00AE58D7">
          <w:rPr>
            <w:rStyle w:val="Hypertextovprepojenie"/>
            <w:rFonts w:ascii="Calibri" w:eastAsia="Arial" w:hAnsi="Calibri" w:cs="Calibri"/>
            <w:lang w:eastAsia="sk"/>
          </w:rPr>
          <w:t>https://josephine.proebiz.com/sk/tender/8292/summary</w:t>
        </w:r>
      </w:hyperlink>
      <w:r w:rsidR="00400C51">
        <w:rPr>
          <w:rFonts w:ascii="Calibri" w:eastAsia="Arial" w:hAnsi="Calibri" w:cs="Calibri"/>
          <w:lang w:eastAsia="sk"/>
        </w:rPr>
        <w:t xml:space="preserve"> </w:t>
      </w:r>
    </w:p>
    <w:p w14:paraId="10084693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28882030" w14:textId="2C3F3F8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Riadne vyplnená a podpísaná príloha č. </w:t>
      </w:r>
      <w:r w:rsidR="00990923">
        <w:rPr>
          <w:rFonts w:ascii="Calibri" w:eastAsia="Arial" w:hAnsi="Calibri" w:cs="Calibri"/>
          <w:lang w:eastAsia="sk"/>
        </w:rPr>
        <w:t>2</w:t>
      </w:r>
      <w:r w:rsidRPr="009B0997">
        <w:rPr>
          <w:rFonts w:ascii="Calibri" w:eastAsia="Arial" w:hAnsi="Calibri" w:cs="Calibri"/>
          <w:lang w:eastAsia="sk"/>
        </w:rPr>
        <w:t>.</w:t>
      </w:r>
      <w:r w:rsidR="00C55209">
        <w:rPr>
          <w:rFonts w:ascii="Calibri" w:eastAsia="Arial" w:hAnsi="Calibri" w:cs="Calibri"/>
          <w:lang w:eastAsia="sk"/>
        </w:rPr>
        <w:t xml:space="preserve"> </w:t>
      </w:r>
      <w:r w:rsidRPr="009B0997">
        <w:rPr>
          <w:rFonts w:ascii="Calibri" w:eastAsia="Arial" w:hAnsi="Calibri" w:cs="Calibri"/>
          <w:lang w:eastAsia="sk"/>
        </w:rPr>
        <w:t>Záujemca zároveň vyplní návrh na plnenie kritérií na vyhodnotenie ponuky aj elektronicky v systéme JOSEPHINE v časti „Ponuky“.</w:t>
      </w:r>
    </w:p>
    <w:p w14:paraId="04E19AD1" w14:textId="77777777" w:rsidR="00167096" w:rsidRDefault="00167096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C394AB" w14:textId="70CB6BA8" w:rsidR="00476976" w:rsidRPr="00476976" w:rsidRDefault="00476976" w:rsidP="00476976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u w:val="single"/>
          <w:lang w:eastAsia="sk"/>
        </w:rPr>
      </w:pPr>
      <w:r w:rsidRPr="00476976">
        <w:rPr>
          <w:rFonts w:ascii="Calibri" w:eastAsia="Arial" w:hAnsi="Calibri" w:cs="Calibri"/>
          <w:u w:val="single"/>
          <w:lang w:eastAsia="sk"/>
        </w:rPr>
        <w:t>Súčasťou</w:t>
      </w:r>
      <w:r w:rsidR="00EC13D2" w:rsidRPr="00476976">
        <w:rPr>
          <w:rFonts w:ascii="Calibri" w:eastAsia="Arial" w:hAnsi="Calibri" w:cs="Calibri"/>
          <w:u w:val="single"/>
          <w:lang w:eastAsia="sk"/>
        </w:rPr>
        <w:t xml:space="preserve"> predkladanej ponuky </w:t>
      </w:r>
      <w:r w:rsidRPr="00476976">
        <w:rPr>
          <w:rFonts w:ascii="Calibri" w:eastAsia="Arial" w:hAnsi="Calibri" w:cs="Calibri"/>
          <w:u w:val="single"/>
          <w:lang w:eastAsia="sk"/>
        </w:rPr>
        <w:t>budú aj nasledujúce doklady:</w:t>
      </w:r>
    </w:p>
    <w:p w14:paraId="601658A3" w14:textId="3163BB1A" w:rsidR="00476976" w:rsidRPr="00476976" w:rsidRDefault="004B445E" w:rsidP="00476976">
      <w:pPr>
        <w:pStyle w:val="Odsekzoznamu"/>
        <w:numPr>
          <w:ilvl w:val="0"/>
          <w:numId w:val="15"/>
        </w:numPr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T</w:t>
      </w:r>
      <w:r w:rsidR="00B27802">
        <w:rPr>
          <w:rFonts w:ascii="Calibri" w:eastAsia="Arial" w:hAnsi="Calibri" w:cs="Calibri"/>
          <w:lang w:eastAsia="sk"/>
        </w:rPr>
        <w:t>echnická</w:t>
      </w:r>
      <w:r>
        <w:rPr>
          <w:rFonts w:ascii="Calibri" w:eastAsia="Arial" w:hAnsi="Calibri" w:cs="Calibri"/>
          <w:lang w:eastAsia="sk"/>
        </w:rPr>
        <w:t xml:space="preserve"> dokumentácia ( podniková norma</w:t>
      </w:r>
      <w:r w:rsidR="00C76082">
        <w:rPr>
          <w:rFonts w:ascii="Calibri" w:eastAsia="Arial" w:hAnsi="Calibri" w:cs="Calibri"/>
          <w:lang w:eastAsia="sk"/>
        </w:rPr>
        <w:t>, technický list, potvrdenie o zhode..</w:t>
      </w:r>
      <w:r w:rsidR="009B20AD">
        <w:rPr>
          <w:rFonts w:ascii="Calibri" w:eastAsia="Arial" w:hAnsi="Calibri" w:cs="Calibri"/>
          <w:lang w:eastAsia="sk"/>
        </w:rPr>
        <w:t>)</w:t>
      </w:r>
    </w:p>
    <w:p w14:paraId="31A5BB00" w14:textId="3E03C64B" w:rsidR="00E64DD5" w:rsidRDefault="00E64DD5" w:rsidP="00E64DD5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700"/>
        <w:jc w:val="both"/>
        <w:rPr>
          <w:rFonts w:ascii="Calibri" w:eastAsia="Arial" w:hAnsi="Calibri" w:cs="Calibri"/>
          <w:lang w:eastAsia="sk"/>
        </w:rPr>
      </w:pPr>
    </w:p>
    <w:p w14:paraId="3822E867" w14:textId="1B8035F4" w:rsidR="00E64DD5" w:rsidRPr="00E64DD5" w:rsidRDefault="00E64DD5" w:rsidP="00E64DD5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7CD80316" w14:textId="5C89197D" w:rsid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do </w:t>
      </w:r>
    </w:p>
    <w:p w14:paraId="2E3A78E8" w14:textId="12A3BD6F" w:rsidR="00E64DD5" w:rsidRPr="00E64DD5" w:rsidRDefault="00E64DD5" w:rsidP="00D36D7D">
      <w:pPr>
        <w:tabs>
          <w:tab w:val="left" w:pos="1276"/>
        </w:tabs>
        <w:spacing w:after="0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6FC7CDCC" w14:textId="70818545" w:rsidR="00BC7473" w:rsidRPr="00BC7473" w:rsidRDefault="00406B37" w:rsidP="001C58D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>
        <w:rPr>
          <w:rFonts w:ascii="Calibri" w:eastAsia="Arial" w:hAnsi="Calibri" w:cs="Calibri"/>
          <w:bCs/>
          <w:lang w:eastAsia="sk"/>
        </w:rPr>
        <w:t xml:space="preserve">     </w:t>
      </w:r>
    </w:p>
    <w:p w14:paraId="6294A8A8" w14:textId="3F8549DC" w:rsidR="004220F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2BB7C377" w14:textId="6513B14A" w:rsidR="00BC7473" w:rsidRPr="00BC7473" w:rsidRDefault="004220F3" w:rsidP="004220F3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lang w:eastAsia="sk"/>
        </w:rPr>
        <w:t>vyžaduje, aby podpis splnomocniteľa bol úradne overený.</w:t>
      </w:r>
    </w:p>
    <w:p w14:paraId="6EA9B682" w14:textId="7FCB911C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.pdf)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9DD2D39" w14:textId="77777777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</w:t>
      </w:r>
      <w:r w:rsidRPr="009B0997">
        <w:rPr>
          <w:rFonts w:ascii="Calibri" w:eastAsia="Arial" w:hAnsi="Calibri" w:cs="Calibri"/>
          <w:lang w:eastAsia="sk"/>
        </w:rPr>
        <w:lastRenderedPageBreak/>
        <w:t>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9B0997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406B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043F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14B7639E" w:rsidR="00400C51" w:rsidRPr="00400C51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>bstarávateľ stanovuje ako jediné kritérium na vyhodnotenie ponúk najnižšiu celkovú cenu</w:t>
      </w:r>
      <w:r w:rsidR="009773DA">
        <w:rPr>
          <w:rFonts w:ascii="Calibri" w:eastAsia="Arial" w:hAnsi="Calibri" w:cs="Calibri"/>
          <w:lang w:val="sk" w:eastAsia="sk"/>
        </w:rPr>
        <w:t xml:space="preserve"> </w:t>
      </w:r>
      <w:r w:rsidRPr="008A320E">
        <w:rPr>
          <w:rFonts w:ascii="Calibri" w:eastAsia="Arial" w:hAnsi="Calibri" w:cs="Calibri"/>
          <w:lang w:val="sk" w:eastAsia="sk"/>
        </w:rPr>
        <w:t xml:space="preserve">za </w:t>
      </w:r>
      <w:r w:rsidR="00990923">
        <w:rPr>
          <w:rFonts w:ascii="Calibri" w:eastAsia="Arial" w:hAnsi="Calibri" w:cs="Calibri"/>
          <w:lang w:val="sk" w:eastAsia="sk"/>
        </w:rPr>
        <w:t xml:space="preserve">predmet zákazky </w:t>
      </w:r>
      <w:r w:rsidRPr="008A320E">
        <w:rPr>
          <w:rFonts w:ascii="Calibri" w:eastAsia="Arial" w:hAnsi="Calibri" w:cs="Calibri"/>
          <w:lang w:val="sk" w:eastAsia="sk"/>
        </w:rPr>
        <w:t xml:space="preserve"> v eurách </w:t>
      </w:r>
      <w:r w:rsidR="00583323">
        <w:rPr>
          <w:rFonts w:ascii="Calibri" w:eastAsia="Arial" w:hAnsi="Calibri" w:cs="Calibri"/>
          <w:lang w:val="sk" w:eastAsia="sk"/>
        </w:rPr>
        <w:t>bez</w:t>
      </w:r>
      <w:r>
        <w:rPr>
          <w:rFonts w:ascii="Calibri" w:eastAsia="Arial" w:hAnsi="Calibri" w:cs="Calibri"/>
          <w:lang w:val="sk" w:eastAsia="sk"/>
        </w:rPr>
        <w:t xml:space="preserve"> DPH</w:t>
      </w:r>
      <w:r w:rsidR="00E87E81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00C5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5F45A39A" w:rsidR="008A320E" w:rsidRDefault="008A320E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 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>. bode „Opis predmetu zákazky“ tejto výzvy.</w:t>
      </w:r>
    </w:p>
    <w:p w14:paraId="46673458" w14:textId="77777777" w:rsidR="00D729C5" w:rsidRDefault="00D729C5" w:rsidP="008A320E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233E6F9F" w14:textId="26C03318" w:rsidR="00406B37" w:rsidRDefault="008A320E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>Ak uchádzač nie je platcom DPH, ním uvedená cena bude považovaná za konečnú aj v prípade, ak by sa počas plnenia predmetu zákazky stal platiteľom DPH. V prípade, ak uchádzač je platiteľom DPH, avšak jeho sídlo je v inom členskom štáte EÚ alebo sídli mimo EÚ, uvedie v ponuke cenu, ktorá bude rozdelená na ním navrhovanú cenu bez DPH, výšku DPH a aj cenu s DPH podľa slovenských právnych predpisov (20%), aj keď samotnú DPH nebude v súlade s komunitárnym právom fakturovať.</w:t>
      </w:r>
    </w:p>
    <w:p w14:paraId="3674E4A7" w14:textId="3D74B8B4" w:rsidR="00C55209" w:rsidRDefault="00C55209" w:rsidP="00D729C5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524DD54B" w14:textId="77777777" w:rsidR="00C55209" w:rsidRDefault="00C55209" w:rsidP="00C55209">
      <w:pPr>
        <w:widowControl w:val="0"/>
        <w:tabs>
          <w:tab w:val="left" w:pos="1276"/>
        </w:tabs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budú vyzvaní tí uchádzači, ktorí predložili najnižšie cenové ponuky, aby ich v lehote nie kratšej ako jeden pracovný deň upravili smerom nadol, prípadne </w:t>
      </w:r>
    </w:p>
    <w:p w14:paraId="13E39F39" w14:textId="77777777" w:rsidR="00736218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</w:t>
      </w:r>
      <w:r w:rsidR="00C55209" w:rsidRPr="00C55209">
        <w:rPr>
          <w:rFonts w:ascii="Calibri" w:eastAsia="Arial" w:hAnsi="Calibri" w:cs="Calibri"/>
          <w:lang w:eastAsia="sk"/>
        </w:rPr>
        <w:t xml:space="preserve">potvrdili ich aktuálnu výšku. Úspešným sa stane uchádzač s najnižšou cenovou ponukou po uplynutí 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0687B7FE" w14:textId="0C204926" w:rsidR="00D729C5" w:rsidRPr="00D729C5" w:rsidRDefault="00736218" w:rsidP="00736218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</w:t>
      </w:r>
      <w:r w:rsidR="00C55209" w:rsidRPr="00C55209">
        <w:rPr>
          <w:rFonts w:ascii="Calibri" w:eastAsia="Arial" w:hAnsi="Calibri" w:cs="Calibri"/>
          <w:lang w:eastAsia="sk"/>
        </w:rPr>
        <w:t>danej lehoty. Tento postup možno aj opakovať</w:t>
      </w:r>
    </w:p>
    <w:p w14:paraId="3F9A0A04" w14:textId="77777777" w:rsidR="00C55209" w:rsidRDefault="00BC7473" w:rsidP="0009755D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55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188294DE" w:rsidR="00D729C5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2D601649" w:rsidR="00CA770A" w:rsidRPr="00CA770A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 v stanovenom termíne, bude  obstarávateľ toto považovať za nesplnenie podmienky účasti a bude postupovať v súlade s písm. a) tohto bodu.</w:t>
      </w:r>
    </w:p>
    <w:p w14:paraId="37C679DC" w14:textId="265EA616" w:rsid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bstarávateľ označí za úspešného uchádzača s najnižšou cenou, ktorý preukázal stanovené </w:t>
      </w:r>
      <w:r w:rsidRPr="00C55209">
        <w:rPr>
          <w:rFonts w:ascii="Calibri" w:eastAsia="Arial" w:hAnsi="Calibri" w:cs="Calibri"/>
          <w:bCs/>
          <w:u w:color="000000"/>
          <w:lang w:eastAsia="sk"/>
        </w:rPr>
        <w:lastRenderedPageBreak/>
        <w:t>podmienky účasti a požiadavky na predmet zákazky.</w:t>
      </w:r>
    </w:p>
    <w:p w14:paraId="181655B6" w14:textId="6734A9F4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</w:p>
    <w:p w14:paraId="6A68DDCA" w14:textId="171CBFCC" w:rsidR="00C55209" w:rsidRPr="00C55209" w:rsidRDefault="00C55209" w:rsidP="009043FD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C55209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09755D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7F628743" w:rsidR="005236E5" w:rsidRDefault="005236E5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čitateľnej a reprodukovateľnej podobe.</w:t>
      </w:r>
    </w:p>
    <w:p w14:paraId="01EC158C" w14:textId="5903473E" w:rsidR="008D6B7D" w:rsidRDefault="008D6B7D" w:rsidP="00406B37">
      <w:pPr>
        <w:pStyle w:val="Odsekzoznamu"/>
        <w:spacing w:after="0"/>
        <w:ind w:left="340" w:hanging="1"/>
        <w:jc w:val="both"/>
        <w:rPr>
          <w:rFonts w:ascii="Calibri" w:eastAsia="Arial" w:hAnsi="Calibri" w:cs="Calibri"/>
          <w:lang w:eastAsia="sk"/>
        </w:rPr>
      </w:pPr>
    </w:p>
    <w:p w14:paraId="1782F676" w14:textId="779FB2B0" w:rsidR="00990FAE" w:rsidRPr="00990FAE" w:rsidRDefault="00194FCD" w:rsidP="00406B37">
      <w:pPr>
        <w:spacing w:after="0" w:line="264" w:lineRule="auto"/>
        <w:ind w:left="-500" w:hanging="10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>
        <w:rPr>
          <w:rFonts w:ascii="Calibri" w:eastAsia="Calibri" w:hAnsi="Calibri" w:cs="Calibri"/>
          <w:bCs/>
          <w:color w:val="FF0000"/>
          <w:lang w:eastAsia="sk-SK"/>
        </w:rPr>
        <w:t xml:space="preserve">     </w:t>
      </w:r>
      <w:r w:rsidR="009A3D0B">
        <w:rPr>
          <w:rFonts w:ascii="Calibri" w:eastAsia="Calibri" w:hAnsi="Calibri" w:cs="Calibri"/>
          <w:bCs/>
          <w:color w:val="FF0000"/>
          <w:lang w:eastAsia="sk-SK"/>
        </w:rPr>
        <w:t xml:space="preserve">  </w:t>
      </w:r>
      <w:r>
        <w:rPr>
          <w:rFonts w:ascii="Calibri" w:eastAsia="Calibri" w:hAnsi="Calibri" w:cs="Calibri"/>
          <w:bCs/>
          <w:color w:val="FF0000"/>
          <w:lang w:eastAsia="sk-SK"/>
        </w:rPr>
        <w:t xml:space="preserve">          </w:t>
      </w:r>
      <w:r w:rsidR="00990FAE"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1635B914" w14:textId="77777777" w:rsidR="00990FAE" w:rsidRPr="00990FAE" w:rsidRDefault="00990FAE" w:rsidP="00406B37">
      <w:pPr>
        <w:spacing w:after="0" w:line="264" w:lineRule="auto"/>
        <w:ind w:left="340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 na predkladanie ponúk a aby svoju ponuku predložili s dostatočným časovým predstihom.</w:t>
      </w:r>
    </w:p>
    <w:p w14:paraId="1C8D04FA" w14:textId="77777777" w:rsidR="007E1461" w:rsidRDefault="001E604B" w:rsidP="007E1461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516E7B1D" w:rsidR="00E64DD5" w:rsidRPr="007E1461" w:rsidRDefault="007E1461" w:rsidP="0054274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34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</w:p>
    <w:p w14:paraId="21DF8C3A" w14:textId="7CF21646" w:rsidR="005541DB" w:rsidRPr="00406B37" w:rsidRDefault="00521FD8" w:rsidP="00406B37">
      <w:pPr>
        <w:widowControl w:val="0"/>
        <w:autoSpaceDE w:val="0"/>
        <w:autoSpaceDN w:val="0"/>
        <w:spacing w:after="0"/>
        <w:ind w:left="113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     Príloha č.</w:t>
      </w:r>
      <w:r w:rsidR="00E64DD5">
        <w:rPr>
          <w:rFonts w:ascii="Calibri" w:eastAsia="Arial" w:hAnsi="Calibri" w:cs="Calibri"/>
          <w:lang w:val="sk" w:eastAsia="sk"/>
        </w:rPr>
        <w:t xml:space="preserve"> 2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6C0407">
        <w:rPr>
          <w:rFonts w:ascii="Calibri" w:eastAsia="Arial" w:hAnsi="Calibri" w:cs="Calibri"/>
          <w:b/>
          <w:lang w:eastAsia="sk"/>
        </w:rPr>
        <w:t xml:space="preserve"> </w:t>
      </w:r>
      <w:r w:rsidR="00D70F10">
        <w:rPr>
          <w:rFonts w:ascii="Calibri" w:eastAsia="Arial" w:hAnsi="Calibri" w:cs="Calibri"/>
          <w:b/>
          <w:lang w:eastAsia="sk"/>
        </w:rPr>
        <w:t xml:space="preserve"> </w:t>
      </w:r>
    </w:p>
    <w:p w14:paraId="18134A11" w14:textId="29C44180" w:rsidR="005541DB" w:rsidRDefault="005541DB" w:rsidP="005541D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b/>
          <w:bCs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21D510F2" w:rsidR="001E604B" w:rsidRPr="001E604B" w:rsidRDefault="006C7BEE" w:rsidP="001E604B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 </w:t>
      </w:r>
    </w:p>
    <w:p w14:paraId="2EA98CBE" w14:textId="0A7902F5" w:rsidR="001E5169" w:rsidRPr="007676BF" w:rsidRDefault="001E604B" w:rsidP="00E87E81">
      <w:pPr>
        <w:widowControl w:val="0"/>
        <w:autoSpaceDE w:val="0"/>
        <w:autoSpaceDN w:val="0"/>
        <w:spacing w:after="0"/>
        <w:ind w:left="318"/>
        <w:jc w:val="both"/>
        <w:rPr>
          <w:b/>
        </w:rPr>
      </w:pPr>
      <w:r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2417E1">
        <w:rPr>
          <w:rFonts w:ascii="Calibri" w:eastAsia="Arial" w:hAnsi="Calibri" w:cs="Calibri"/>
          <w:lang w:val="sk" w:eastAsia="sk"/>
        </w:rPr>
        <w:t>31</w:t>
      </w:r>
      <w:r w:rsidR="00772C10">
        <w:rPr>
          <w:rFonts w:ascii="Calibri" w:eastAsia="Arial" w:hAnsi="Calibri" w:cs="Calibri"/>
          <w:lang w:val="sk" w:eastAsia="sk"/>
        </w:rPr>
        <w:t>.</w:t>
      </w:r>
      <w:r w:rsidR="00A775E4">
        <w:rPr>
          <w:rFonts w:ascii="Calibri" w:eastAsia="Arial" w:hAnsi="Calibri" w:cs="Calibri"/>
          <w:lang w:val="sk" w:eastAsia="sk"/>
        </w:rPr>
        <w:t>7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2020</w:t>
      </w:r>
      <w:r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8A7B10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843" w:right="1417" w:bottom="1418" w:left="1276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FD9DF" w14:textId="77777777" w:rsidR="0076672F" w:rsidRDefault="0076672F" w:rsidP="00F14090">
      <w:pPr>
        <w:spacing w:after="0" w:line="240" w:lineRule="auto"/>
      </w:pPr>
      <w:r>
        <w:separator/>
      </w:r>
    </w:p>
  </w:endnote>
  <w:endnote w:type="continuationSeparator" w:id="0">
    <w:p w14:paraId="0CB8A28C" w14:textId="77777777" w:rsidR="0076672F" w:rsidRDefault="0076672F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E5E88" w14:textId="77777777" w:rsidR="0076672F" w:rsidRDefault="0076672F" w:rsidP="00F14090">
      <w:pPr>
        <w:spacing w:after="0" w:line="240" w:lineRule="auto"/>
      </w:pPr>
      <w:r>
        <w:separator/>
      </w:r>
    </w:p>
  </w:footnote>
  <w:footnote w:type="continuationSeparator" w:id="0">
    <w:p w14:paraId="64BEAB20" w14:textId="77777777" w:rsidR="0076672F" w:rsidRDefault="0076672F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A9C06" w14:textId="77777777" w:rsidR="00F14090" w:rsidRDefault="000C7857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2053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1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6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0"/>
  </w:num>
  <w:num w:numId="5">
    <w:abstractNumId w:val="16"/>
  </w:num>
  <w:num w:numId="6">
    <w:abstractNumId w:val="9"/>
  </w:num>
  <w:num w:numId="7">
    <w:abstractNumId w:val="11"/>
  </w:num>
  <w:num w:numId="8">
    <w:abstractNumId w:val="6"/>
  </w:num>
  <w:num w:numId="9">
    <w:abstractNumId w:val="2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3"/>
  </w:num>
  <w:num w:numId="15">
    <w:abstractNumId w:val="0"/>
  </w:num>
  <w:num w:numId="16">
    <w:abstractNumId w:val="15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68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065CC"/>
    <w:rsid w:val="0001271E"/>
    <w:rsid w:val="000200E2"/>
    <w:rsid w:val="00021F4C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63F3D"/>
    <w:rsid w:val="00065F6D"/>
    <w:rsid w:val="00091C9A"/>
    <w:rsid w:val="00095262"/>
    <w:rsid w:val="0009755D"/>
    <w:rsid w:val="000A2F4A"/>
    <w:rsid w:val="000A3E3D"/>
    <w:rsid w:val="000A769C"/>
    <w:rsid w:val="000B4653"/>
    <w:rsid w:val="000C26E1"/>
    <w:rsid w:val="000C663C"/>
    <w:rsid w:val="000C7857"/>
    <w:rsid w:val="000D6998"/>
    <w:rsid w:val="000E3864"/>
    <w:rsid w:val="000E3995"/>
    <w:rsid w:val="000F0D46"/>
    <w:rsid w:val="001036FC"/>
    <w:rsid w:val="00114F79"/>
    <w:rsid w:val="00117D2E"/>
    <w:rsid w:val="00120DE8"/>
    <w:rsid w:val="0012386B"/>
    <w:rsid w:val="0012561E"/>
    <w:rsid w:val="001275B5"/>
    <w:rsid w:val="00127873"/>
    <w:rsid w:val="00141ABE"/>
    <w:rsid w:val="00156E52"/>
    <w:rsid w:val="00165627"/>
    <w:rsid w:val="00167096"/>
    <w:rsid w:val="00171D80"/>
    <w:rsid w:val="001744EF"/>
    <w:rsid w:val="00175BF6"/>
    <w:rsid w:val="00185004"/>
    <w:rsid w:val="001852CF"/>
    <w:rsid w:val="00187D5B"/>
    <w:rsid w:val="0019484C"/>
    <w:rsid w:val="00194FCD"/>
    <w:rsid w:val="001A435D"/>
    <w:rsid w:val="001B16B3"/>
    <w:rsid w:val="001B16ED"/>
    <w:rsid w:val="001C58D8"/>
    <w:rsid w:val="001C616E"/>
    <w:rsid w:val="001C6A88"/>
    <w:rsid w:val="001E11A8"/>
    <w:rsid w:val="001E19D6"/>
    <w:rsid w:val="001E41EA"/>
    <w:rsid w:val="001E5169"/>
    <w:rsid w:val="001E604B"/>
    <w:rsid w:val="001F69CA"/>
    <w:rsid w:val="00203801"/>
    <w:rsid w:val="00213526"/>
    <w:rsid w:val="00213CBF"/>
    <w:rsid w:val="002417E1"/>
    <w:rsid w:val="002453CC"/>
    <w:rsid w:val="00245AED"/>
    <w:rsid w:val="00257120"/>
    <w:rsid w:val="00262BBE"/>
    <w:rsid w:val="0026431A"/>
    <w:rsid w:val="00266EB6"/>
    <w:rsid w:val="00274170"/>
    <w:rsid w:val="00277CEA"/>
    <w:rsid w:val="002801AB"/>
    <w:rsid w:val="00297444"/>
    <w:rsid w:val="00297B91"/>
    <w:rsid w:val="002A1A85"/>
    <w:rsid w:val="002B4AE9"/>
    <w:rsid w:val="002D054B"/>
    <w:rsid w:val="002D3E06"/>
    <w:rsid w:val="002D4661"/>
    <w:rsid w:val="002D4EE0"/>
    <w:rsid w:val="002E2B61"/>
    <w:rsid w:val="002E36FB"/>
    <w:rsid w:val="002F07E5"/>
    <w:rsid w:val="002F276B"/>
    <w:rsid w:val="00300AF1"/>
    <w:rsid w:val="003013EA"/>
    <w:rsid w:val="00306940"/>
    <w:rsid w:val="00312388"/>
    <w:rsid w:val="00327728"/>
    <w:rsid w:val="00334491"/>
    <w:rsid w:val="003474AD"/>
    <w:rsid w:val="0035027C"/>
    <w:rsid w:val="00352F7B"/>
    <w:rsid w:val="00360584"/>
    <w:rsid w:val="00361369"/>
    <w:rsid w:val="0036163E"/>
    <w:rsid w:val="00361EA5"/>
    <w:rsid w:val="0036274F"/>
    <w:rsid w:val="003679F0"/>
    <w:rsid w:val="00372E7D"/>
    <w:rsid w:val="00394D55"/>
    <w:rsid w:val="003A7BB3"/>
    <w:rsid w:val="003B19F7"/>
    <w:rsid w:val="003B2A25"/>
    <w:rsid w:val="003D19E8"/>
    <w:rsid w:val="003D246B"/>
    <w:rsid w:val="003F68BC"/>
    <w:rsid w:val="00400C51"/>
    <w:rsid w:val="00401E8C"/>
    <w:rsid w:val="00404E78"/>
    <w:rsid w:val="00406B37"/>
    <w:rsid w:val="00411FEE"/>
    <w:rsid w:val="00416456"/>
    <w:rsid w:val="004220F3"/>
    <w:rsid w:val="0042212F"/>
    <w:rsid w:val="00451600"/>
    <w:rsid w:val="00454632"/>
    <w:rsid w:val="00464935"/>
    <w:rsid w:val="00472410"/>
    <w:rsid w:val="004765E2"/>
    <w:rsid w:val="00476976"/>
    <w:rsid w:val="00477F98"/>
    <w:rsid w:val="0048124C"/>
    <w:rsid w:val="00486FBC"/>
    <w:rsid w:val="00494404"/>
    <w:rsid w:val="004A3249"/>
    <w:rsid w:val="004A55E5"/>
    <w:rsid w:val="004B1E32"/>
    <w:rsid w:val="004B445E"/>
    <w:rsid w:val="004B504D"/>
    <w:rsid w:val="004C06AC"/>
    <w:rsid w:val="004C0DA3"/>
    <w:rsid w:val="004C0E98"/>
    <w:rsid w:val="004D2D33"/>
    <w:rsid w:val="004F03F9"/>
    <w:rsid w:val="004F3E8F"/>
    <w:rsid w:val="004F7224"/>
    <w:rsid w:val="005071D2"/>
    <w:rsid w:val="00507966"/>
    <w:rsid w:val="00512255"/>
    <w:rsid w:val="005135F2"/>
    <w:rsid w:val="00513753"/>
    <w:rsid w:val="0052107B"/>
    <w:rsid w:val="00521FD8"/>
    <w:rsid w:val="005236E5"/>
    <w:rsid w:val="00537A95"/>
    <w:rsid w:val="00540A9A"/>
    <w:rsid w:val="00542741"/>
    <w:rsid w:val="00542D19"/>
    <w:rsid w:val="0054539C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5334"/>
    <w:rsid w:val="0059724C"/>
    <w:rsid w:val="005975F4"/>
    <w:rsid w:val="005A094D"/>
    <w:rsid w:val="005A2648"/>
    <w:rsid w:val="005C33BD"/>
    <w:rsid w:val="005C56BC"/>
    <w:rsid w:val="005D78CE"/>
    <w:rsid w:val="005F03F6"/>
    <w:rsid w:val="006020B9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62B03"/>
    <w:rsid w:val="006843B0"/>
    <w:rsid w:val="00687801"/>
    <w:rsid w:val="006A0B45"/>
    <w:rsid w:val="006A291B"/>
    <w:rsid w:val="006A45B5"/>
    <w:rsid w:val="006C0151"/>
    <w:rsid w:val="006C0407"/>
    <w:rsid w:val="006C7BEE"/>
    <w:rsid w:val="006D0997"/>
    <w:rsid w:val="006D1475"/>
    <w:rsid w:val="006D1840"/>
    <w:rsid w:val="006D2C97"/>
    <w:rsid w:val="006D4313"/>
    <w:rsid w:val="006D5E6F"/>
    <w:rsid w:val="006E183A"/>
    <w:rsid w:val="006E28CB"/>
    <w:rsid w:val="006F1EC9"/>
    <w:rsid w:val="006F478E"/>
    <w:rsid w:val="0070353B"/>
    <w:rsid w:val="007114D3"/>
    <w:rsid w:val="00713C01"/>
    <w:rsid w:val="0071407E"/>
    <w:rsid w:val="0071425C"/>
    <w:rsid w:val="007208CB"/>
    <w:rsid w:val="00720BA6"/>
    <w:rsid w:val="007238DC"/>
    <w:rsid w:val="00726DAE"/>
    <w:rsid w:val="007306A3"/>
    <w:rsid w:val="00736218"/>
    <w:rsid w:val="00751102"/>
    <w:rsid w:val="00757342"/>
    <w:rsid w:val="0076672F"/>
    <w:rsid w:val="007676BF"/>
    <w:rsid w:val="00767BC1"/>
    <w:rsid w:val="00772C10"/>
    <w:rsid w:val="007805D8"/>
    <w:rsid w:val="00783E00"/>
    <w:rsid w:val="007867D7"/>
    <w:rsid w:val="00791113"/>
    <w:rsid w:val="007A0ADF"/>
    <w:rsid w:val="007B0404"/>
    <w:rsid w:val="007B137B"/>
    <w:rsid w:val="007B450C"/>
    <w:rsid w:val="007B6818"/>
    <w:rsid w:val="007B7D76"/>
    <w:rsid w:val="007C6B14"/>
    <w:rsid w:val="007C7C60"/>
    <w:rsid w:val="007E145D"/>
    <w:rsid w:val="007E1461"/>
    <w:rsid w:val="007E39FF"/>
    <w:rsid w:val="007F0ED0"/>
    <w:rsid w:val="007F7679"/>
    <w:rsid w:val="0081198B"/>
    <w:rsid w:val="008228FF"/>
    <w:rsid w:val="00833D19"/>
    <w:rsid w:val="0083547A"/>
    <w:rsid w:val="00840EE0"/>
    <w:rsid w:val="008417D5"/>
    <w:rsid w:val="00843380"/>
    <w:rsid w:val="008448A7"/>
    <w:rsid w:val="00846B0E"/>
    <w:rsid w:val="008504ED"/>
    <w:rsid w:val="00856943"/>
    <w:rsid w:val="008570FF"/>
    <w:rsid w:val="008616FF"/>
    <w:rsid w:val="00871037"/>
    <w:rsid w:val="00890814"/>
    <w:rsid w:val="00895E51"/>
    <w:rsid w:val="00897E6E"/>
    <w:rsid w:val="008A320E"/>
    <w:rsid w:val="008A7B10"/>
    <w:rsid w:val="008B4A51"/>
    <w:rsid w:val="008C1B2F"/>
    <w:rsid w:val="008C1C0B"/>
    <w:rsid w:val="008D1B99"/>
    <w:rsid w:val="008D1C87"/>
    <w:rsid w:val="008D3EAE"/>
    <w:rsid w:val="008D4113"/>
    <w:rsid w:val="008D6B7D"/>
    <w:rsid w:val="008E2F6D"/>
    <w:rsid w:val="008F5FF9"/>
    <w:rsid w:val="008F6202"/>
    <w:rsid w:val="009043FD"/>
    <w:rsid w:val="0090444A"/>
    <w:rsid w:val="009050A9"/>
    <w:rsid w:val="00907061"/>
    <w:rsid w:val="0092048A"/>
    <w:rsid w:val="0092159A"/>
    <w:rsid w:val="009228C7"/>
    <w:rsid w:val="009416A1"/>
    <w:rsid w:val="0094438A"/>
    <w:rsid w:val="009473CC"/>
    <w:rsid w:val="00950F44"/>
    <w:rsid w:val="0096209A"/>
    <w:rsid w:val="0096382C"/>
    <w:rsid w:val="00963B88"/>
    <w:rsid w:val="00973A94"/>
    <w:rsid w:val="00976DD0"/>
    <w:rsid w:val="009773DA"/>
    <w:rsid w:val="00981BEA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C7CD5"/>
    <w:rsid w:val="009D6D31"/>
    <w:rsid w:val="009E385D"/>
    <w:rsid w:val="009E6ECB"/>
    <w:rsid w:val="009E770F"/>
    <w:rsid w:val="009F162E"/>
    <w:rsid w:val="009F196F"/>
    <w:rsid w:val="00A0435A"/>
    <w:rsid w:val="00A14F92"/>
    <w:rsid w:val="00A15E27"/>
    <w:rsid w:val="00A2118D"/>
    <w:rsid w:val="00A234C6"/>
    <w:rsid w:val="00A23D94"/>
    <w:rsid w:val="00A2660B"/>
    <w:rsid w:val="00A27198"/>
    <w:rsid w:val="00A3260E"/>
    <w:rsid w:val="00A42445"/>
    <w:rsid w:val="00A46257"/>
    <w:rsid w:val="00A50456"/>
    <w:rsid w:val="00A72FEB"/>
    <w:rsid w:val="00A73134"/>
    <w:rsid w:val="00A775E4"/>
    <w:rsid w:val="00A80D8C"/>
    <w:rsid w:val="00A826F2"/>
    <w:rsid w:val="00A8748A"/>
    <w:rsid w:val="00A936A4"/>
    <w:rsid w:val="00A93A91"/>
    <w:rsid w:val="00A9706C"/>
    <w:rsid w:val="00AA2467"/>
    <w:rsid w:val="00AA31D5"/>
    <w:rsid w:val="00AA55B6"/>
    <w:rsid w:val="00AA7F88"/>
    <w:rsid w:val="00AD347C"/>
    <w:rsid w:val="00AD7542"/>
    <w:rsid w:val="00AE190C"/>
    <w:rsid w:val="00AE419D"/>
    <w:rsid w:val="00AE5654"/>
    <w:rsid w:val="00AF071B"/>
    <w:rsid w:val="00B02E29"/>
    <w:rsid w:val="00B24CAF"/>
    <w:rsid w:val="00B259B7"/>
    <w:rsid w:val="00B27802"/>
    <w:rsid w:val="00B31E59"/>
    <w:rsid w:val="00B639C2"/>
    <w:rsid w:val="00B74793"/>
    <w:rsid w:val="00B82461"/>
    <w:rsid w:val="00B9393D"/>
    <w:rsid w:val="00B94C91"/>
    <w:rsid w:val="00BA0126"/>
    <w:rsid w:val="00BA530B"/>
    <w:rsid w:val="00BC3F29"/>
    <w:rsid w:val="00BC7473"/>
    <w:rsid w:val="00BE1F44"/>
    <w:rsid w:val="00BE33ED"/>
    <w:rsid w:val="00BE550F"/>
    <w:rsid w:val="00BF240C"/>
    <w:rsid w:val="00C01048"/>
    <w:rsid w:val="00C0169C"/>
    <w:rsid w:val="00C03CF9"/>
    <w:rsid w:val="00C065D1"/>
    <w:rsid w:val="00C21BEB"/>
    <w:rsid w:val="00C247A8"/>
    <w:rsid w:val="00C321DE"/>
    <w:rsid w:val="00C37A2E"/>
    <w:rsid w:val="00C43A8A"/>
    <w:rsid w:val="00C50260"/>
    <w:rsid w:val="00C51DE3"/>
    <w:rsid w:val="00C535B8"/>
    <w:rsid w:val="00C53DD3"/>
    <w:rsid w:val="00C55209"/>
    <w:rsid w:val="00C56CDB"/>
    <w:rsid w:val="00C61FBC"/>
    <w:rsid w:val="00C641B1"/>
    <w:rsid w:val="00C76082"/>
    <w:rsid w:val="00C84D06"/>
    <w:rsid w:val="00C856A8"/>
    <w:rsid w:val="00CA770A"/>
    <w:rsid w:val="00CB219E"/>
    <w:rsid w:val="00CC538B"/>
    <w:rsid w:val="00CC7C4D"/>
    <w:rsid w:val="00CD28DB"/>
    <w:rsid w:val="00CD7B03"/>
    <w:rsid w:val="00CF1BE4"/>
    <w:rsid w:val="00CF2C14"/>
    <w:rsid w:val="00D01ADA"/>
    <w:rsid w:val="00D036DF"/>
    <w:rsid w:val="00D07A27"/>
    <w:rsid w:val="00D123EA"/>
    <w:rsid w:val="00D16487"/>
    <w:rsid w:val="00D22C98"/>
    <w:rsid w:val="00D23007"/>
    <w:rsid w:val="00D254DA"/>
    <w:rsid w:val="00D30F2D"/>
    <w:rsid w:val="00D35AC9"/>
    <w:rsid w:val="00D36D7D"/>
    <w:rsid w:val="00D433F1"/>
    <w:rsid w:val="00D43473"/>
    <w:rsid w:val="00D43752"/>
    <w:rsid w:val="00D44D5F"/>
    <w:rsid w:val="00D52A68"/>
    <w:rsid w:val="00D677C8"/>
    <w:rsid w:val="00D67DC0"/>
    <w:rsid w:val="00D70F10"/>
    <w:rsid w:val="00D71964"/>
    <w:rsid w:val="00D71CAE"/>
    <w:rsid w:val="00D729C5"/>
    <w:rsid w:val="00D7355F"/>
    <w:rsid w:val="00D8169B"/>
    <w:rsid w:val="00D942B6"/>
    <w:rsid w:val="00DA3589"/>
    <w:rsid w:val="00DA53EB"/>
    <w:rsid w:val="00DB01B4"/>
    <w:rsid w:val="00DB140D"/>
    <w:rsid w:val="00DB387B"/>
    <w:rsid w:val="00DB4C85"/>
    <w:rsid w:val="00DC15D6"/>
    <w:rsid w:val="00DC5DDC"/>
    <w:rsid w:val="00DC6B4F"/>
    <w:rsid w:val="00DD0FA9"/>
    <w:rsid w:val="00DD66B9"/>
    <w:rsid w:val="00DD763B"/>
    <w:rsid w:val="00DE28FF"/>
    <w:rsid w:val="00DE7462"/>
    <w:rsid w:val="00DE7AE0"/>
    <w:rsid w:val="00DF231E"/>
    <w:rsid w:val="00DF3C2B"/>
    <w:rsid w:val="00DF6AD0"/>
    <w:rsid w:val="00E0252A"/>
    <w:rsid w:val="00E1051F"/>
    <w:rsid w:val="00E119C7"/>
    <w:rsid w:val="00E2477F"/>
    <w:rsid w:val="00E24B80"/>
    <w:rsid w:val="00E26649"/>
    <w:rsid w:val="00E27901"/>
    <w:rsid w:val="00E4386B"/>
    <w:rsid w:val="00E45F2F"/>
    <w:rsid w:val="00E5190F"/>
    <w:rsid w:val="00E54356"/>
    <w:rsid w:val="00E64DD5"/>
    <w:rsid w:val="00E77A84"/>
    <w:rsid w:val="00E81C8A"/>
    <w:rsid w:val="00E8336E"/>
    <w:rsid w:val="00E85511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B0C82"/>
    <w:rsid w:val="00EB26BE"/>
    <w:rsid w:val="00EB4C6E"/>
    <w:rsid w:val="00EC13D2"/>
    <w:rsid w:val="00ED1932"/>
    <w:rsid w:val="00ED64D0"/>
    <w:rsid w:val="00EE40F0"/>
    <w:rsid w:val="00EF111B"/>
    <w:rsid w:val="00F00C2D"/>
    <w:rsid w:val="00F0566F"/>
    <w:rsid w:val="00F05AD0"/>
    <w:rsid w:val="00F06DB6"/>
    <w:rsid w:val="00F14090"/>
    <w:rsid w:val="00F240D6"/>
    <w:rsid w:val="00F24C69"/>
    <w:rsid w:val="00F446C8"/>
    <w:rsid w:val="00F50F15"/>
    <w:rsid w:val="00F6149B"/>
    <w:rsid w:val="00F625A7"/>
    <w:rsid w:val="00F66608"/>
    <w:rsid w:val="00F75109"/>
    <w:rsid w:val="00F75F17"/>
    <w:rsid w:val="00F802A4"/>
    <w:rsid w:val="00FA265D"/>
    <w:rsid w:val="00FA2E33"/>
    <w:rsid w:val="00FB2454"/>
    <w:rsid w:val="00FC0C80"/>
    <w:rsid w:val="00FC3BFE"/>
    <w:rsid w:val="00FC54CA"/>
    <w:rsid w:val="00FD1555"/>
    <w:rsid w:val="00FD7CFF"/>
    <w:rsid w:val="00FE3CA8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" TargetMode="External"/><Relationship Id="rId13" Type="http://schemas.openxmlformats.org/officeDocument/2006/relationships/hyperlink" Target="https://store.proebiz.com/docs/josephine/sk/Manual_registracie_SK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ore.proebiz.com/docs/josephine/sk/Technicke_poziadavky_sw_JOSEPHINE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8292/summa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osephine.proebiz.com/sk/tender/8292/summary" TargetMode="External"/><Relationship Id="rId10" Type="http://schemas.openxmlformats.org/officeDocument/2006/relationships/hyperlink" Target="https://josephine.proebiz.com/sk/tender/8292/summary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hamala@olo.sk" TargetMode="External"/><Relationship Id="rId14" Type="http://schemas.openxmlformats.org/officeDocument/2006/relationships/hyperlink" Target="https://store.proebiz.com/docs/josephine/sk/Skrateny_navod_ucastnik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Pudmerický</dc:creator>
  <cp:lastModifiedBy>Hamala Milan</cp:lastModifiedBy>
  <cp:revision>26</cp:revision>
  <cp:lastPrinted>2020-07-24T07:17:00Z</cp:lastPrinted>
  <dcterms:created xsi:type="dcterms:W3CDTF">2020-07-31T08:19:00Z</dcterms:created>
  <dcterms:modified xsi:type="dcterms:W3CDTF">2020-07-31T09:32:00Z</dcterms:modified>
</cp:coreProperties>
</file>